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DBA7E" w14:textId="77777777" w:rsidR="00E15F42" w:rsidRPr="00644F82" w:rsidRDefault="00E15F42" w:rsidP="0074766E">
      <w:pPr>
        <w:spacing w:line="480" w:lineRule="auto"/>
        <w:jc w:val="center"/>
        <w:rPr>
          <w:color w:val="000000" w:themeColor="text1"/>
        </w:rPr>
      </w:pPr>
    </w:p>
    <w:p w14:paraId="6959A8AB" w14:textId="77777777" w:rsidR="00E15F42" w:rsidRPr="00644F82" w:rsidRDefault="00E15F42" w:rsidP="0074766E">
      <w:pPr>
        <w:spacing w:line="480" w:lineRule="auto"/>
        <w:jc w:val="center"/>
        <w:rPr>
          <w:color w:val="000000" w:themeColor="text1"/>
        </w:rPr>
      </w:pPr>
    </w:p>
    <w:p w14:paraId="70887546" w14:textId="77777777" w:rsidR="00E15F42" w:rsidRPr="00644F82" w:rsidRDefault="00E15F42" w:rsidP="0074766E">
      <w:pPr>
        <w:spacing w:line="480" w:lineRule="auto"/>
        <w:jc w:val="center"/>
        <w:rPr>
          <w:color w:val="000000" w:themeColor="text1"/>
        </w:rPr>
      </w:pPr>
    </w:p>
    <w:p w14:paraId="5439192A" w14:textId="77777777" w:rsidR="00E15F42" w:rsidRPr="00644F82" w:rsidRDefault="00E15F42" w:rsidP="00FF56BB">
      <w:pPr>
        <w:spacing w:line="480" w:lineRule="auto"/>
        <w:jc w:val="center"/>
        <w:rPr>
          <w:color w:val="000000" w:themeColor="text1"/>
        </w:rPr>
      </w:pPr>
    </w:p>
    <w:p w14:paraId="4CF14CBB" w14:textId="77777777" w:rsidR="00D850AD" w:rsidRPr="00644F82" w:rsidRDefault="00D850AD" w:rsidP="0074766E">
      <w:pPr>
        <w:spacing w:line="480" w:lineRule="auto"/>
        <w:jc w:val="center"/>
        <w:rPr>
          <w:color w:val="000000" w:themeColor="text1"/>
        </w:rPr>
      </w:pPr>
    </w:p>
    <w:p w14:paraId="4C357208" w14:textId="77777777" w:rsidR="00D850AD" w:rsidRPr="00644F82" w:rsidRDefault="00D850AD" w:rsidP="0074766E">
      <w:pPr>
        <w:spacing w:line="480" w:lineRule="auto"/>
        <w:jc w:val="center"/>
        <w:rPr>
          <w:color w:val="000000" w:themeColor="text1"/>
        </w:rPr>
      </w:pPr>
    </w:p>
    <w:p w14:paraId="17DF2ED4" w14:textId="77777777" w:rsidR="00E15F42" w:rsidRPr="00644F82" w:rsidRDefault="00E15F42" w:rsidP="0074766E">
      <w:pPr>
        <w:spacing w:line="480" w:lineRule="auto"/>
        <w:jc w:val="center"/>
        <w:rPr>
          <w:color w:val="000000" w:themeColor="text1"/>
        </w:rPr>
      </w:pPr>
    </w:p>
    <w:p w14:paraId="4359C68F" w14:textId="77777777" w:rsidR="004E6E8F" w:rsidRDefault="004E6E8F" w:rsidP="0074766E">
      <w:pPr>
        <w:spacing w:line="480" w:lineRule="auto"/>
        <w:jc w:val="center"/>
        <w:rPr>
          <w:color w:val="000000" w:themeColor="text1"/>
        </w:rPr>
      </w:pPr>
    </w:p>
    <w:p w14:paraId="7415E28D" w14:textId="71AE35FB" w:rsidR="0074766E" w:rsidRPr="00644F82" w:rsidRDefault="0074766E" w:rsidP="0074766E">
      <w:pPr>
        <w:spacing w:line="480" w:lineRule="auto"/>
        <w:jc w:val="center"/>
        <w:rPr>
          <w:color w:val="000000" w:themeColor="text1"/>
        </w:rPr>
      </w:pPr>
      <w:r w:rsidRPr="00644F82">
        <w:rPr>
          <w:color w:val="000000" w:themeColor="text1"/>
        </w:rPr>
        <w:t xml:space="preserve">Redefining Rosie: The Portrayal of American Women in World War II </w:t>
      </w:r>
      <w:r w:rsidR="00DF55F1">
        <w:rPr>
          <w:color w:val="000000" w:themeColor="text1"/>
        </w:rPr>
        <w:t>Mobilization</w:t>
      </w:r>
      <w:r w:rsidRPr="00644F82">
        <w:rPr>
          <w:color w:val="000000" w:themeColor="text1"/>
        </w:rPr>
        <w:t xml:space="preserve"> Campaigns, 1941-194</w:t>
      </w:r>
      <w:r w:rsidR="00E15F42" w:rsidRPr="00644F82">
        <w:rPr>
          <w:color w:val="000000" w:themeColor="text1"/>
        </w:rPr>
        <w:t>5</w:t>
      </w:r>
    </w:p>
    <w:p w14:paraId="1C57C482" w14:textId="77777777" w:rsidR="00E15F42" w:rsidRDefault="00E15F42" w:rsidP="00CE4742">
      <w:pPr>
        <w:spacing w:line="480" w:lineRule="auto"/>
        <w:rPr>
          <w:b/>
          <w:bCs/>
          <w:color w:val="000000" w:themeColor="text1"/>
        </w:rPr>
      </w:pPr>
    </w:p>
    <w:p w14:paraId="403EA5AD" w14:textId="77777777" w:rsidR="00FF56BB" w:rsidRDefault="00FF56BB" w:rsidP="00CE4742">
      <w:pPr>
        <w:spacing w:line="480" w:lineRule="auto"/>
        <w:rPr>
          <w:b/>
          <w:bCs/>
          <w:color w:val="000000" w:themeColor="text1"/>
        </w:rPr>
      </w:pPr>
    </w:p>
    <w:p w14:paraId="3457F780" w14:textId="77777777" w:rsidR="00FF56BB" w:rsidRDefault="00FF56BB" w:rsidP="00CE4742">
      <w:pPr>
        <w:spacing w:line="480" w:lineRule="auto"/>
        <w:rPr>
          <w:b/>
          <w:bCs/>
          <w:color w:val="000000" w:themeColor="text1"/>
        </w:rPr>
      </w:pPr>
    </w:p>
    <w:p w14:paraId="0AA64ECA" w14:textId="77777777" w:rsidR="00FF56BB" w:rsidRDefault="00FF56BB" w:rsidP="00CE4742">
      <w:pPr>
        <w:spacing w:line="480" w:lineRule="auto"/>
        <w:rPr>
          <w:b/>
          <w:bCs/>
          <w:color w:val="000000" w:themeColor="text1"/>
        </w:rPr>
      </w:pPr>
    </w:p>
    <w:p w14:paraId="314479C6" w14:textId="77777777" w:rsidR="00FF56BB" w:rsidRDefault="00FF56BB" w:rsidP="00CE4742">
      <w:pPr>
        <w:spacing w:line="480" w:lineRule="auto"/>
        <w:rPr>
          <w:b/>
          <w:bCs/>
          <w:color w:val="000000" w:themeColor="text1"/>
        </w:rPr>
      </w:pPr>
    </w:p>
    <w:p w14:paraId="4D55BF05" w14:textId="77777777" w:rsidR="00FF56BB" w:rsidRDefault="00FF56BB" w:rsidP="00CE4742">
      <w:pPr>
        <w:spacing w:line="480" w:lineRule="auto"/>
        <w:rPr>
          <w:b/>
          <w:bCs/>
          <w:color w:val="000000" w:themeColor="text1"/>
        </w:rPr>
      </w:pPr>
    </w:p>
    <w:p w14:paraId="0D545293" w14:textId="77777777" w:rsidR="00FF56BB" w:rsidRPr="00644F82" w:rsidRDefault="00FF56BB" w:rsidP="00CE4742">
      <w:pPr>
        <w:spacing w:line="480" w:lineRule="auto"/>
        <w:rPr>
          <w:b/>
          <w:bCs/>
          <w:color w:val="000000" w:themeColor="text1"/>
        </w:rPr>
      </w:pPr>
    </w:p>
    <w:p w14:paraId="492D61DE" w14:textId="04C7762C" w:rsidR="00D850AD" w:rsidRPr="00644F82" w:rsidRDefault="00D850AD" w:rsidP="00FF56BB">
      <w:pPr>
        <w:spacing w:line="480" w:lineRule="auto"/>
        <w:rPr>
          <w:b/>
          <w:bCs/>
          <w:color w:val="000000" w:themeColor="text1"/>
        </w:rPr>
      </w:pPr>
    </w:p>
    <w:p w14:paraId="2AA638A6" w14:textId="77777777" w:rsidR="00D850AD" w:rsidRPr="00644F82" w:rsidRDefault="00D850AD" w:rsidP="00FF56BB">
      <w:pPr>
        <w:spacing w:line="480" w:lineRule="auto"/>
        <w:rPr>
          <w:b/>
          <w:bCs/>
          <w:color w:val="000000" w:themeColor="text1"/>
        </w:rPr>
      </w:pPr>
    </w:p>
    <w:p w14:paraId="22C43A57" w14:textId="23EA26E6" w:rsidR="00E15F42" w:rsidRPr="00644F82" w:rsidRDefault="00D850AD" w:rsidP="00D850AD">
      <w:pPr>
        <w:spacing w:line="480" w:lineRule="auto"/>
        <w:jc w:val="center"/>
        <w:rPr>
          <w:color w:val="000000" w:themeColor="text1"/>
        </w:rPr>
      </w:pPr>
      <w:r w:rsidRPr="00644F82">
        <w:rPr>
          <w:color w:val="000000" w:themeColor="text1"/>
        </w:rPr>
        <w:t>Katherine Drozd</w:t>
      </w:r>
    </w:p>
    <w:p w14:paraId="6866E355" w14:textId="511A87AE" w:rsidR="00D850AD" w:rsidRPr="00644F82" w:rsidRDefault="00D850AD" w:rsidP="00D850AD">
      <w:pPr>
        <w:spacing w:line="480" w:lineRule="auto"/>
        <w:jc w:val="center"/>
        <w:rPr>
          <w:color w:val="000000" w:themeColor="text1"/>
        </w:rPr>
      </w:pPr>
      <w:r w:rsidRPr="00644F82">
        <w:rPr>
          <w:color w:val="000000" w:themeColor="text1"/>
        </w:rPr>
        <w:t>HIS 480</w:t>
      </w:r>
    </w:p>
    <w:p w14:paraId="3F5DD42D" w14:textId="2C3E208D" w:rsidR="00D850AD" w:rsidRPr="00644F82" w:rsidRDefault="00D850AD" w:rsidP="00D850AD">
      <w:pPr>
        <w:spacing w:line="480" w:lineRule="auto"/>
        <w:jc w:val="center"/>
        <w:rPr>
          <w:color w:val="000000" w:themeColor="text1"/>
        </w:rPr>
      </w:pPr>
      <w:r w:rsidRPr="00644F82">
        <w:rPr>
          <w:color w:val="000000" w:themeColor="text1"/>
        </w:rPr>
        <w:t xml:space="preserve">Davidson College </w:t>
      </w:r>
    </w:p>
    <w:p w14:paraId="61A70FE0" w14:textId="730D2869" w:rsidR="00D850AD" w:rsidRPr="00FF56BB" w:rsidRDefault="000D414C" w:rsidP="00FF56BB">
      <w:pPr>
        <w:spacing w:line="480" w:lineRule="auto"/>
        <w:jc w:val="center"/>
        <w:rPr>
          <w:color w:val="000000" w:themeColor="text1"/>
        </w:rPr>
      </w:pPr>
      <w:r w:rsidRPr="00644F82">
        <w:rPr>
          <w:color w:val="000000" w:themeColor="text1"/>
        </w:rPr>
        <w:t>December 9</w:t>
      </w:r>
      <w:r w:rsidR="00D850AD" w:rsidRPr="00644F82">
        <w:rPr>
          <w:color w:val="000000" w:themeColor="text1"/>
        </w:rPr>
        <w:t>, 2025</w:t>
      </w:r>
    </w:p>
    <w:p w14:paraId="7B406D4E" w14:textId="77777777" w:rsidR="004E6E8F" w:rsidRDefault="004E6E8F" w:rsidP="00F6138B">
      <w:pPr>
        <w:spacing w:line="480" w:lineRule="auto"/>
        <w:rPr>
          <w:b/>
          <w:bCs/>
          <w:color w:val="000000" w:themeColor="text1"/>
        </w:rPr>
      </w:pPr>
    </w:p>
    <w:p w14:paraId="06283EBE" w14:textId="3B3BABF3" w:rsidR="00CE4742" w:rsidRPr="00644F82" w:rsidRDefault="00CE4742" w:rsidP="00F6138B">
      <w:pPr>
        <w:spacing w:line="480" w:lineRule="auto"/>
        <w:rPr>
          <w:b/>
          <w:bCs/>
          <w:color w:val="000000" w:themeColor="text1"/>
        </w:rPr>
      </w:pPr>
      <w:r w:rsidRPr="00644F82">
        <w:rPr>
          <w:b/>
          <w:bCs/>
          <w:color w:val="000000" w:themeColor="text1"/>
        </w:rPr>
        <w:t>Introduction</w:t>
      </w:r>
    </w:p>
    <w:p w14:paraId="5F0B8447" w14:textId="207605C5" w:rsidR="0074766E" w:rsidRPr="00644F82" w:rsidRDefault="0074766E" w:rsidP="00F6138B">
      <w:pPr>
        <w:spacing w:line="480" w:lineRule="auto"/>
        <w:ind w:firstLine="720"/>
        <w:rPr>
          <w:color w:val="000000" w:themeColor="text1"/>
        </w:rPr>
      </w:pPr>
      <w:r w:rsidRPr="00644F82">
        <w:rPr>
          <w:color w:val="000000" w:themeColor="text1"/>
        </w:rPr>
        <w:t>Over the course of World War II, nearly 19 million American women worked for wages.</w:t>
      </w:r>
      <w:r w:rsidRPr="00644F82">
        <w:rPr>
          <w:rStyle w:val="FootnoteReference"/>
          <w:color w:val="000000" w:themeColor="text1"/>
        </w:rPr>
        <w:footnoteReference w:id="1"/>
      </w:r>
      <w:r w:rsidRPr="00644F82">
        <w:rPr>
          <w:color w:val="000000" w:themeColor="text1"/>
        </w:rPr>
        <w:t xml:space="preserve"> By 1944, “the female labor force had grown by almost half,” and women’s presence in traditionally male-dominated wartime occupations was unprecedented.</w:t>
      </w:r>
      <w:r w:rsidRPr="00644F82">
        <w:rPr>
          <w:rStyle w:val="FootnoteReference"/>
          <w:color w:val="000000" w:themeColor="text1"/>
        </w:rPr>
        <w:footnoteReference w:id="2"/>
      </w:r>
      <w:r w:rsidRPr="00644F82">
        <w:rPr>
          <w:color w:val="000000" w:themeColor="text1"/>
        </w:rPr>
        <w:t xml:space="preserve"> The number of women employed as production workers skyrocketed “from 340,000 in 1940 to 2,174,000 in 1943,” and by 1945, “4.5 million women were serving as factory operatives, an increase of 112 percent.”</w:t>
      </w:r>
      <w:r w:rsidRPr="00644F82">
        <w:rPr>
          <w:rStyle w:val="FootnoteReference"/>
          <w:color w:val="000000" w:themeColor="text1"/>
        </w:rPr>
        <w:footnoteReference w:id="3"/>
      </w:r>
      <w:r w:rsidRPr="00644F82">
        <w:rPr>
          <w:color w:val="000000" w:themeColor="text1"/>
        </w:rPr>
        <w:t xml:space="preserve"> These figures underscore the expanding role women played during the war, a shift actively promoted by a nationwide government campaign to recruit women into the workforce. </w:t>
      </w:r>
    </w:p>
    <w:p w14:paraId="57DE7501" w14:textId="3E075EA0" w:rsidR="0074766E" w:rsidRPr="00644F82" w:rsidRDefault="0074766E" w:rsidP="00F6138B">
      <w:pPr>
        <w:spacing w:line="480" w:lineRule="auto"/>
        <w:ind w:firstLine="720"/>
        <w:rPr>
          <w:color w:val="000000" w:themeColor="text1"/>
        </w:rPr>
      </w:pPr>
      <w:r w:rsidRPr="00644F82">
        <w:rPr>
          <w:color w:val="000000" w:themeColor="text1"/>
        </w:rPr>
        <w:t xml:space="preserve">Embodied by Rosie the Riveter, government-sponsored propaganda encouraged women to </w:t>
      </w:r>
      <w:r w:rsidR="003B720F" w:rsidRPr="00644F82">
        <w:rPr>
          <w:color w:val="000000" w:themeColor="text1"/>
        </w:rPr>
        <w:t>go</w:t>
      </w:r>
      <w:r w:rsidRPr="00644F82">
        <w:rPr>
          <w:color w:val="000000" w:themeColor="text1"/>
        </w:rPr>
        <w:t xml:space="preserve"> beyond the confines of domesticity</w:t>
      </w:r>
      <w:r w:rsidR="003B720F" w:rsidRPr="00644F82">
        <w:rPr>
          <w:color w:val="000000" w:themeColor="text1"/>
        </w:rPr>
        <w:t xml:space="preserve"> </w:t>
      </w:r>
      <w:r w:rsidRPr="00644F82">
        <w:rPr>
          <w:color w:val="000000" w:themeColor="text1"/>
        </w:rPr>
        <w:t xml:space="preserve">and convinced </w:t>
      </w:r>
      <w:r w:rsidR="003B720F" w:rsidRPr="00644F82">
        <w:rPr>
          <w:color w:val="000000" w:themeColor="text1"/>
        </w:rPr>
        <w:t>them</w:t>
      </w:r>
      <w:r w:rsidRPr="00644F82">
        <w:rPr>
          <w:color w:val="000000" w:themeColor="text1"/>
        </w:rPr>
        <w:t xml:space="preserve"> that they were needed, wanted, and important in the public sphere. Suddenly, middle-class women were not only mothers and homemakers, but also riveters and wielders. These recruitment campaigns seemed to project an image of female empowerment, patriotism, and strength</w:t>
      </w:r>
      <w:r w:rsidR="003B720F" w:rsidRPr="00644F82">
        <w:rPr>
          <w:color w:val="000000" w:themeColor="text1"/>
        </w:rPr>
        <w:t>,</w:t>
      </w:r>
      <w:r w:rsidRPr="00644F82">
        <w:rPr>
          <w:color w:val="000000" w:themeColor="text1"/>
        </w:rPr>
        <w:t xml:space="preserve"> and</w:t>
      </w:r>
      <w:r w:rsidR="00C048C8" w:rsidRPr="00644F82">
        <w:rPr>
          <w:color w:val="000000" w:themeColor="text1"/>
        </w:rPr>
        <w:t>,</w:t>
      </w:r>
      <w:r w:rsidRPr="00644F82">
        <w:rPr>
          <w:color w:val="000000" w:themeColor="text1"/>
        </w:rPr>
        <w:t xml:space="preserve"> indeed, have </w:t>
      </w:r>
      <w:r w:rsidR="002E1E58" w:rsidRPr="00644F82">
        <w:rPr>
          <w:color w:val="000000" w:themeColor="text1"/>
        </w:rPr>
        <w:t xml:space="preserve">since </w:t>
      </w:r>
      <w:r w:rsidRPr="00644F82">
        <w:rPr>
          <w:color w:val="000000" w:themeColor="text1"/>
        </w:rPr>
        <w:t>been remembered as such</w:t>
      </w:r>
      <w:r w:rsidR="00017001" w:rsidRPr="00644F82">
        <w:rPr>
          <w:color w:val="000000" w:themeColor="text1"/>
        </w:rPr>
        <w:t xml:space="preserve"> in popular culture.</w:t>
      </w:r>
      <w:r w:rsidR="002E1E58" w:rsidRPr="00644F82">
        <w:rPr>
          <w:color w:val="000000" w:themeColor="text1"/>
        </w:rPr>
        <w:t xml:space="preserve"> However</w:t>
      </w:r>
      <w:r w:rsidRPr="00644F82">
        <w:rPr>
          <w:color w:val="000000" w:themeColor="text1"/>
        </w:rPr>
        <w:t xml:space="preserve">, this public campaign and the new gender roles </w:t>
      </w:r>
      <w:r w:rsidR="002E1E58" w:rsidRPr="00644F82">
        <w:rPr>
          <w:color w:val="000000" w:themeColor="text1"/>
        </w:rPr>
        <w:t>for middle</w:t>
      </w:r>
      <w:r w:rsidR="00C048C8" w:rsidRPr="00644F82">
        <w:rPr>
          <w:color w:val="000000" w:themeColor="text1"/>
        </w:rPr>
        <w:t>-</w:t>
      </w:r>
      <w:r w:rsidR="002E1E58" w:rsidRPr="00644F82">
        <w:rPr>
          <w:color w:val="000000" w:themeColor="text1"/>
        </w:rPr>
        <w:t>class women that it</w:t>
      </w:r>
      <w:r w:rsidRPr="00644F82">
        <w:rPr>
          <w:color w:val="000000" w:themeColor="text1"/>
        </w:rPr>
        <w:t xml:space="preserve"> promoted </w:t>
      </w:r>
      <w:r w:rsidR="003B720F" w:rsidRPr="00644F82">
        <w:rPr>
          <w:color w:val="000000" w:themeColor="text1"/>
        </w:rPr>
        <w:t>were</w:t>
      </w:r>
      <w:r w:rsidRPr="00644F82">
        <w:rPr>
          <w:color w:val="000000" w:themeColor="text1"/>
        </w:rPr>
        <w:t xml:space="preserve"> only temporary. </w:t>
      </w:r>
      <w:r w:rsidR="002E1E58" w:rsidRPr="00644F82">
        <w:rPr>
          <w:color w:val="000000" w:themeColor="text1"/>
        </w:rPr>
        <w:t xml:space="preserve">Once </w:t>
      </w:r>
      <w:r w:rsidRPr="00644F82">
        <w:rPr>
          <w:color w:val="000000" w:themeColor="text1"/>
        </w:rPr>
        <w:t>the war ended, women rapidly exited the workforce just as quickly as they had entered it</w:t>
      </w:r>
      <w:r w:rsidR="00B13203" w:rsidRPr="00644F82">
        <w:rPr>
          <w:color w:val="000000" w:themeColor="text1"/>
        </w:rPr>
        <w:t xml:space="preserve">. </w:t>
      </w:r>
      <w:r w:rsidR="002E1E58" w:rsidRPr="00644F82">
        <w:rPr>
          <w:color w:val="000000" w:themeColor="text1"/>
        </w:rPr>
        <w:t>Industrial needs shrank in the immediate postwar years, and riveters and welders were no longer needed</w:t>
      </w:r>
      <w:r w:rsidR="00CD1E13" w:rsidRPr="00644F82">
        <w:rPr>
          <w:color w:val="000000" w:themeColor="text1"/>
        </w:rPr>
        <w:t xml:space="preserve"> to the extent that they were during the war years</w:t>
      </w:r>
      <w:r w:rsidR="002E1E58" w:rsidRPr="00644F82">
        <w:rPr>
          <w:color w:val="000000" w:themeColor="text1"/>
        </w:rPr>
        <w:t xml:space="preserve">. The same government that had once recruited women into the </w:t>
      </w:r>
      <w:r w:rsidR="002E1E58" w:rsidRPr="00644F82">
        <w:rPr>
          <w:color w:val="000000" w:themeColor="text1"/>
        </w:rPr>
        <w:lastRenderedPageBreak/>
        <w:t>workforce now encouraged them to return back to the home</w:t>
      </w:r>
      <w:r w:rsidRPr="00644F82">
        <w:rPr>
          <w:color w:val="000000" w:themeColor="text1"/>
        </w:rPr>
        <w:t>, causing “the female labor force [to shrink] to a size closer to that of 1940 than to that of 1944.”</w:t>
      </w:r>
      <w:r w:rsidRPr="00644F82">
        <w:rPr>
          <w:rStyle w:val="FootnoteReference"/>
          <w:color w:val="000000" w:themeColor="text1"/>
        </w:rPr>
        <w:footnoteReference w:id="4"/>
      </w:r>
      <w:r w:rsidRPr="00644F82">
        <w:rPr>
          <w:color w:val="000000" w:themeColor="text1"/>
        </w:rPr>
        <w:t xml:space="preserve"> </w:t>
      </w:r>
    </w:p>
    <w:p w14:paraId="0C3B7FB5" w14:textId="70F7729B" w:rsidR="0074766E" w:rsidRPr="00644F82" w:rsidRDefault="0074766E" w:rsidP="00F6138B">
      <w:pPr>
        <w:spacing w:line="480" w:lineRule="auto"/>
        <w:ind w:firstLine="720"/>
        <w:rPr>
          <w:color w:val="000000" w:themeColor="text1"/>
        </w:rPr>
      </w:pPr>
      <w:r w:rsidRPr="00644F82">
        <w:rPr>
          <w:color w:val="000000" w:themeColor="text1"/>
        </w:rPr>
        <w:t>Why did women enter the workforce so rapidly and then leave? Does this suggest that recruitment campaigns worked</w:t>
      </w:r>
      <w:r w:rsidR="003B720F" w:rsidRPr="00644F82">
        <w:rPr>
          <w:color w:val="000000" w:themeColor="text1"/>
        </w:rPr>
        <w:t xml:space="preserve">, </w:t>
      </w:r>
      <w:r w:rsidRPr="00644F82">
        <w:rPr>
          <w:color w:val="000000" w:themeColor="text1"/>
        </w:rPr>
        <w:t xml:space="preserve">or </w:t>
      </w:r>
      <w:r w:rsidR="002E1E58" w:rsidRPr="00644F82">
        <w:rPr>
          <w:color w:val="000000" w:themeColor="text1"/>
        </w:rPr>
        <w:t>is there some other explanation for these shifts in middle</w:t>
      </w:r>
      <w:r w:rsidR="00B13203" w:rsidRPr="00644F82">
        <w:rPr>
          <w:color w:val="000000" w:themeColor="text1"/>
        </w:rPr>
        <w:t>-</w:t>
      </w:r>
      <w:r w:rsidR="002E1E58" w:rsidRPr="00644F82">
        <w:rPr>
          <w:color w:val="000000" w:themeColor="text1"/>
        </w:rPr>
        <w:t>class women’s participation in wage labor</w:t>
      </w:r>
      <w:r w:rsidRPr="00644F82">
        <w:rPr>
          <w:color w:val="000000" w:themeColor="text1"/>
        </w:rPr>
        <w:t xml:space="preserve">? This </w:t>
      </w:r>
      <w:r w:rsidR="00B13203" w:rsidRPr="00644F82">
        <w:rPr>
          <w:color w:val="000000" w:themeColor="text1"/>
        </w:rPr>
        <w:t>paper r</w:t>
      </w:r>
      <w:r w:rsidR="002E1E58" w:rsidRPr="00644F82">
        <w:rPr>
          <w:color w:val="000000" w:themeColor="text1"/>
        </w:rPr>
        <w:t xml:space="preserve">econsiders popular </w:t>
      </w:r>
      <w:r w:rsidRPr="00644F82">
        <w:rPr>
          <w:color w:val="000000" w:themeColor="text1"/>
        </w:rPr>
        <w:t>assumption</w:t>
      </w:r>
      <w:r w:rsidR="002E1E58" w:rsidRPr="00644F82">
        <w:rPr>
          <w:color w:val="000000" w:themeColor="text1"/>
        </w:rPr>
        <w:t>s</w:t>
      </w:r>
      <w:r w:rsidRPr="00644F82">
        <w:rPr>
          <w:color w:val="000000" w:themeColor="text1"/>
        </w:rPr>
        <w:t xml:space="preserve"> that these </w:t>
      </w:r>
      <w:r w:rsidR="002E1E58" w:rsidRPr="00644F82">
        <w:rPr>
          <w:color w:val="000000" w:themeColor="text1"/>
        </w:rPr>
        <w:t xml:space="preserve">wartime </w:t>
      </w:r>
      <w:r w:rsidRPr="00644F82">
        <w:rPr>
          <w:color w:val="000000" w:themeColor="text1"/>
        </w:rPr>
        <w:t>mobilization efforts promoted female empowerment, arguing</w:t>
      </w:r>
      <w:r w:rsidR="00CD1E13" w:rsidRPr="00644F82">
        <w:rPr>
          <w:color w:val="000000" w:themeColor="text1"/>
        </w:rPr>
        <w:t xml:space="preserve"> </w:t>
      </w:r>
      <w:r w:rsidRPr="00644F82">
        <w:rPr>
          <w:color w:val="000000" w:themeColor="text1"/>
        </w:rPr>
        <w:t>instead that these posters framed women in</w:t>
      </w:r>
      <w:r w:rsidR="003B720F" w:rsidRPr="00644F82">
        <w:rPr>
          <w:color w:val="000000" w:themeColor="text1"/>
        </w:rPr>
        <w:t xml:space="preserve"> a</w:t>
      </w:r>
      <w:r w:rsidRPr="00644F82">
        <w:rPr>
          <w:color w:val="000000" w:themeColor="text1"/>
        </w:rPr>
        <w:t xml:space="preserve"> way that encouraged them to enter the workforce while also perpetuat</w:t>
      </w:r>
      <w:r w:rsidR="00881A28" w:rsidRPr="00644F82">
        <w:rPr>
          <w:color w:val="000000" w:themeColor="text1"/>
        </w:rPr>
        <w:t>ing</w:t>
      </w:r>
      <w:r w:rsidRPr="00644F82">
        <w:rPr>
          <w:color w:val="000000" w:themeColor="text1"/>
        </w:rPr>
        <w:t xml:space="preserve"> traditional </w:t>
      </w:r>
      <w:r w:rsidR="002E1E58" w:rsidRPr="00644F82">
        <w:rPr>
          <w:color w:val="000000" w:themeColor="text1"/>
        </w:rPr>
        <w:t>domestic and feminine g</w:t>
      </w:r>
      <w:r w:rsidRPr="00644F82">
        <w:rPr>
          <w:color w:val="000000" w:themeColor="text1"/>
        </w:rPr>
        <w:t xml:space="preserve">ender roles. </w:t>
      </w:r>
      <w:r w:rsidR="003B720F" w:rsidRPr="00644F82">
        <w:rPr>
          <w:color w:val="000000" w:themeColor="text1"/>
        </w:rPr>
        <w:t>Examining</w:t>
      </w:r>
      <w:r w:rsidRPr="00644F82">
        <w:rPr>
          <w:color w:val="000000" w:themeColor="text1"/>
        </w:rPr>
        <w:t xml:space="preserve"> </w:t>
      </w:r>
      <w:r w:rsidR="002E1E58" w:rsidRPr="00644F82">
        <w:rPr>
          <w:color w:val="000000" w:themeColor="text1"/>
        </w:rPr>
        <w:t xml:space="preserve">this </w:t>
      </w:r>
      <w:r w:rsidRPr="00644F82">
        <w:rPr>
          <w:color w:val="000000" w:themeColor="text1"/>
        </w:rPr>
        <w:t>contradiction</w:t>
      </w:r>
      <w:r w:rsidR="002E1E58" w:rsidRPr="00644F82">
        <w:rPr>
          <w:color w:val="000000" w:themeColor="text1"/>
        </w:rPr>
        <w:t xml:space="preserve">, I argue, </w:t>
      </w:r>
      <w:r w:rsidRPr="00644F82">
        <w:rPr>
          <w:color w:val="000000" w:themeColor="text1"/>
        </w:rPr>
        <w:t xml:space="preserve">will help </w:t>
      </w:r>
      <w:r w:rsidR="00FF56BB">
        <w:rPr>
          <w:color w:val="000000" w:themeColor="text1"/>
        </w:rPr>
        <w:t xml:space="preserve">us </w:t>
      </w:r>
      <w:r w:rsidR="00B13203" w:rsidRPr="00644F82">
        <w:rPr>
          <w:color w:val="000000" w:themeColor="text1"/>
        </w:rPr>
        <w:t>better u</w:t>
      </w:r>
      <w:r w:rsidRPr="00644F82">
        <w:rPr>
          <w:color w:val="000000" w:themeColor="text1"/>
        </w:rPr>
        <w:t xml:space="preserve">nderstand </w:t>
      </w:r>
      <w:r w:rsidR="002E1E58" w:rsidRPr="00644F82">
        <w:rPr>
          <w:color w:val="000000" w:themeColor="text1"/>
        </w:rPr>
        <w:t>the process by which women entered and exited the workplace before and after World War II</w:t>
      </w:r>
      <w:r w:rsidRPr="00644F82">
        <w:rPr>
          <w:color w:val="000000" w:themeColor="text1"/>
        </w:rPr>
        <w:t xml:space="preserve">, illuminating how views of women’s domestic labor and the presence of visual regimes were reflected in </w:t>
      </w:r>
      <w:r w:rsidR="002E1E58" w:rsidRPr="00644F82">
        <w:rPr>
          <w:color w:val="000000" w:themeColor="text1"/>
        </w:rPr>
        <w:t>wartime</w:t>
      </w:r>
      <w:r w:rsidRPr="00644F82">
        <w:rPr>
          <w:color w:val="000000" w:themeColor="text1"/>
        </w:rPr>
        <w:t xml:space="preserve"> mobilization efforts aimed at women. </w:t>
      </w:r>
    </w:p>
    <w:p w14:paraId="619EFC26" w14:textId="356E1988" w:rsidR="0074766E" w:rsidRPr="00644F82" w:rsidRDefault="003E2014" w:rsidP="00F6138B">
      <w:pPr>
        <w:spacing w:line="480" w:lineRule="auto"/>
        <w:ind w:firstLine="720"/>
        <w:rPr>
          <w:color w:val="000000" w:themeColor="text1"/>
        </w:rPr>
      </w:pPr>
      <w:r w:rsidRPr="00644F82">
        <w:rPr>
          <w:color w:val="000000" w:themeColor="text1"/>
        </w:rPr>
        <w:t xml:space="preserve">Although historians have examined how women were depicted in World War II recruitment campaigns, the scholarship remains overwhelmingly centered </w:t>
      </w:r>
      <w:r w:rsidR="00B13203" w:rsidRPr="00644F82">
        <w:rPr>
          <w:color w:val="000000" w:themeColor="text1"/>
        </w:rPr>
        <w:t>around</w:t>
      </w:r>
      <w:r w:rsidRPr="00644F82">
        <w:rPr>
          <w:color w:val="000000" w:themeColor="text1"/>
        </w:rPr>
        <w:t xml:space="preserve"> Rosie the Riveter. Some scholars recount her origin story, while others dissect the construction of her cultural memory or use her as a gateway to broader discussion</w:t>
      </w:r>
      <w:r w:rsidR="00B13203" w:rsidRPr="00644F82">
        <w:rPr>
          <w:color w:val="000000" w:themeColor="text1"/>
        </w:rPr>
        <w:t>s</w:t>
      </w:r>
      <w:r w:rsidRPr="00644F82">
        <w:rPr>
          <w:color w:val="000000" w:themeColor="text1"/>
        </w:rPr>
        <w:t xml:space="preserve"> of wartime propaganda</w:t>
      </w:r>
      <w:r w:rsidR="0074766E" w:rsidRPr="00644F82">
        <w:rPr>
          <w:color w:val="000000" w:themeColor="text1"/>
        </w:rPr>
        <w:t>.</w:t>
      </w:r>
      <w:r w:rsidR="0074766E" w:rsidRPr="00644F82">
        <w:rPr>
          <w:rStyle w:val="FootnoteReference"/>
          <w:color w:val="000000" w:themeColor="text1"/>
        </w:rPr>
        <w:footnoteReference w:id="5"/>
      </w:r>
      <w:r w:rsidR="0074766E" w:rsidRPr="00644F82">
        <w:rPr>
          <w:color w:val="000000" w:themeColor="text1"/>
        </w:rPr>
        <w:t xml:space="preserve"> </w:t>
      </w:r>
      <w:r w:rsidRPr="00644F82">
        <w:rPr>
          <w:color w:val="000000" w:themeColor="text1"/>
        </w:rPr>
        <w:t xml:space="preserve">This </w:t>
      </w:r>
      <w:r w:rsidR="00B13203" w:rsidRPr="00644F82">
        <w:rPr>
          <w:color w:val="000000" w:themeColor="text1"/>
        </w:rPr>
        <w:t xml:space="preserve">scholarly focus on a single figure has turned Rosie into </w:t>
      </w:r>
      <w:r w:rsidR="002E5E36" w:rsidRPr="00644F82">
        <w:rPr>
          <w:color w:val="000000" w:themeColor="text1"/>
        </w:rPr>
        <w:t>what two historians call</w:t>
      </w:r>
      <w:r w:rsidR="0074766E" w:rsidRPr="00644F82">
        <w:rPr>
          <w:color w:val="000000" w:themeColor="text1"/>
        </w:rPr>
        <w:t xml:space="preserve"> </w:t>
      </w:r>
      <w:r w:rsidR="00B13203" w:rsidRPr="00644F82">
        <w:rPr>
          <w:color w:val="000000" w:themeColor="text1"/>
        </w:rPr>
        <w:t>“</w:t>
      </w:r>
      <w:r w:rsidR="0074766E" w:rsidRPr="00644F82">
        <w:rPr>
          <w:color w:val="000000" w:themeColor="text1"/>
        </w:rPr>
        <w:t>a modern American legend</w:t>
      </w:r>
      <w:r w:rsidR="00B13203" w:rsidRPr="00644F82">
        <w:rPr>
          <w:color w:val="000000" w:themeColor="text1"/>
        </w:rPr>
        <w:t>,</w:t>
      </w:r>
      <w:r w:rsidR="0074766E" w:rsidRPr="00644F82">
        <w:rPr>
          <w:color w:val="000000" w:themeColor="text1"/>
        </w:rPr>
        <w:t>”</w:t>
      </w:r>
      <w:r w:rsidR="00B13203" w:rsidRPr="00644F82">
        <w:rPr>
          <w:color w:val="000000" w:themeColor="text1"/>
        </w:rPr>
        <w:t xml:space="preserve"> effectively obscuring the fact that Rosie was only one among many images aimed at mobilizing women.</w:t>
      </w:r>
      <w:r w:rsidR="0074766E" w:rsidRPr="00644F82">
        <w:rPr>
          <w:rStyle w:val="FootnoteReference"/>
          <w:color w:val="000000" w:themeColor="text1"/>
        </w:rPr>
        <w:footnoteReference w:id="6"/>
      </w:r>
      <w:r w:rsidR="002E5E36" w:rsidRPr="00644F82">
        <w:rPr>
          <w:color w:val="000000" w:themeColor="text1"/>
        </w:rPr>
        <w:t xml:space="preserve"> By sidelining lesser-known posters, scholars have overlooked visual materials that reveal a more complex narrative: the effort to recruit women into wage labor while simultaneously </w:t>
      </w:r>
      <w:r w:rsidR="00B13203" w:rsidRPr="00644F82">
        <w:rPr>
          <w:color w:val="000000" w:themeColor="text1"/>
        </w:rPr>
        <w:t>reaffirming</w:t>
      </w:r>
      <w:r w:rsidR="002E5E36" w:rsidRPr="00644F82">
        <w:rPr>
          <w:color w:val="000000" w:themeColor="text1"/>
        </w:rPr>
        <w:t xml:space="preserve"> traditional gender expectations. </w:t>
      </w:r>
    </w:p>
    <w:p w14:paraId="2B3C1CE4" w14:textId="787B4161" w:rsidR="0074766E" w:rsidRPr="00644F82" w:rsidRDefault="0001140E" w:rsidP="00B019FB">
      <w:pPr>
        <w:pStyle w:val="NormalWeb"/>
        <w:spacing w:before="0" w:beforeAutospacing="0" w:after="0" w:afterAutospacing="0" w:line="480" w:lineRule="auto"/>
        <w:ind w:firstLine="720"/>
        <w:rPr>
          <w:color w:val="000000" w:themeColor="text1"/>
        </w:rPr>
      </w:pPr>
      <w:r w:rsidRPr="00644F82">
        <w:rPr>
          <w:color w:val="000000" w:themeColor="text1"/>
        </w:rPr>
        <w:lastRenderedPageBreak/>
        <w:t>I argue that World War II recruitment propaganda presented female mobilization as a temporary expansion of women’s roles in the public sphere, one that ultimately left mid-20</w:t>
      </w:r>
      <w:r w:rsidRPr="00644F82">
        <w:rPr>
          <w:color w:val="000000" w:themeColor="text1"/>
          <w:vertAlign w:val="superscript"/>
        </w:rPr>
        <w:t>th</w:t>
      </w:r>
      <w:r w:rsidRPr="00644F82">
        <w:rPr>
          <w:color w:val="000000" w:themeColor="text1"/>
        </w:rPr>
        <w:t xml:space="preserve"> century views of women within a patriarchal system</w:t>
      </w:r>
      <w:r w:rsidR="00C048C8" w:rsidRPr="00644F82">
        <w:rPr>
          <w:color w:val="000000" w:themeColor="text1"/>
        </w:rPr>
        <w:t>—</w:t>
      </w:r>
      <w:r w:rsidRPr="00644F82">
        <w:rPr>
          <w:color w:val="000000" w:themeColor="text1"/>
        </w:rPr>
        <w:t>as mothers, housewives and caretakers</w:t>
      </w:r>
      <w:r w:rsidR="00C048C8" w:rsidRPr="00644F82">
        <w:rPr>
          <w:color w:val="000000" w:themeColor="text1"/>
        </w:rPr>
        <w:t>—</w:t>
      </w:r>
      <w:r w:rsidRPr="00644F82">
        <w:rPr>
          <w:color w:val="000000" w:themeColor="text1"/>
        </w:rPr>
        <w:t>firmly intact. These posters, while calling on women to enter the wartime workforce, also reinforced the idea that their primary place</w:t>
      </w:r>
      <w:r w:rsidR="00881A28" w:rsidRPr="00644F82">
        <w:rPr>
          <w:color w:val="000000" w:themeColor="text1"/>
        </w:rPr>
        <w:t xml:space="preserve"> r</w:t>
      </w:r>
      <w:r w:rsidRPr="00644F82">
        <w:rPr>
          <w:color w:val="000000" w:themeColor="text1"/>
        </w:rPr>
        <w:t xml:space="preserve">emained in the private sphere by conditioning their participation in wage labor on their husband’s needs, approval, or absence. </w:t>
      </w:r>
      <w:r w:rsidR="004D383A" w:rsidRPr="00644F82">
        <w:rPr>
          <w:color w:val="000000" w:themeColor="text1"/>
        </w:rPr>
        <w:t>In doing so, female empowerment was gendered: women were encouraged to contribute to the war effort, but only in the ways that did not threaten patriarchal order—an effect that continued to be felt after the war through messaging that encouraged women to leave their wartime jobs and return home.</w:t>
      </w:r>
      <w:r w:rsidRPr="00644F82">
        <w:rPr>
          <w:color w:val="000000" w:themeColor="text1"/>
        </w:rPr>
        <w:t xml:space="preserve"> Even though some women wanted to keep their wartime jobs, most understood that women’s place in the public sphere was temporary and returned home without a quarrel—almost as if their wartime efforts </w:t>
      </w:r>
      <w:r w:rsidR="00881A28" w:rsidRPr="00644F82">
        <w:rPr>
          <w:color w:val="000000" w:themeColor="text1"/>
        </w:rPr>
        <w:t>meant</w:t>
      </w:r>
      <w:r w:rsidRPr="00644F82">
        <w:rPr>
          <w:color w:val="000000" w:themeColor="text1"/>
        </w:rPr>
        <w:t xml:space="preserve"> nothing.  </w:t>
      </w:r>
    </w:p>
    <w:p w14:paraId="0CC15288" w14:textId="4970819D" w:rsidR="005E3494" w:rsidRPr="00644F82" w:rsidRDefault="00B019FB" w:rsidP="00B019FB">
      <w:pPr>
        <w:pStyle w:val="NormalWeb"/>
        <w:spacing w:before="0" w:beforeAutospacing="0" w:after="0" w:afterAutospacing="0" w:line="480" w:lineRule="auto"/>
        <w:ind w:firstLine="720"/>
        <w:rPr>
          <w:color w:val="000000" w:themeColor="text1"/>
          <w:shd w:val="clear" w:color="auto" w:fill="FFFFFF"/>
        </w:rPr>
      </w:pPr>
      <w:r w:rsidRPr="00644F82">
        <w:rPr>
          <w:color w:val="000000" w:themeColor="text1"/>
          <w:shd w:val="clear" w:color="auto" w:fill="FFFFFF"/>
        </w:rPr>
        <w:t>By examining government recruitment posters and their depiction of gender, this paper argues that the historical shifts in women’s workforce entry and exit can in part be explained with reference to the paradoxical depiction of women’s place in the workforce in state-sponsored recruitment posters.</w:t>
      </w:r>
      <w:r w:rsidR="0074766E" w:rsidRPr="00644F82">
        <w:rPr>
          <w:color w:val="000000" w:themeColor="text1"/>
          <w:shd w:val="clear" w:color="auto" w:fill="FFFFFF"/>
        </w:rPr>
        <w:t xml:space="preserve"> I seek to address this by looking at how World War II recruitment propaganda mobilized American women while upholding </w:t>
      </w:r>
      <w:r w:rsidR="000257E2" w:rsidRPr="00644F82">
        <w:rPr>
          <w:color w:val="000000" w:themeColor="text1"/>
          <w:shd w:val="clear" w:color="auto" w:fill="FFFFFF"/>
        </w:rPr>
        <w:t>the gender hierarchy and</w:t>
      </w:r>
      <w:r w:rsidR="0074766E" w:rsidRPr="00644F82">
        <w:rPr>
          <w:color w:val="000000" w:themeColor="text1"/>
          <w:shd w:val="clear" w:color="auto" w:fill="FFFFFF"/>
        </w:rPr>
        <w:t xml:space="preserve"> consider</w:t>
      </w:r>
      <w:r w:rsidR="000257E2" w:rsidRPr="00644F82">
        <w:rPr>
          <w:color w:val="000000" w:themeColor="text1"/>
          <w:shd w:val="clear" w:color="auto" w:fill="FFFFFF"/>
        </w:rPr>
        <w:t>ing</w:t>
      </w:r>
      <w:r w:rsidR="0074766E" w:rsidRPr="00644F82">
        <w:rPr>
          <w:color w:val="000000" w:themeColor="text1"/>
          <w:shd w:val="clear" w:color="auto" w:fill="FFFFFF"/>
        </w:rPr>
        <w:t xml:space="preserve"> how the depiction of women reinforced traditional views of domesticity and femininity.</w:t>
      </w:r>
      <w:r w:rsidR="000257E2" w:rsidRPr="00644F82">
        <w:rPr>
          <w:color w:val="000000" w:themeColor="text1"/>
          <w:shd w:val="clear" w:color="auto" w:fill="FFFFFF"/>
        </w:rPr>
        <w:t xml:space="preserve"> I begin by situating my research within previous scholarship on World War II recruitment campaigns, highlighting how other scholars tend to overshadow lesser-known wartime posters that also shaped female mobilization. I then provide historical context on American society before World War II, outlining the prevailing expectation for women’s roles in the home and wage earning workforce. Next, I introduce my analytical framework, drawing on social reproduction theory </w:t>
      </w:r>
      <w:r w:rsidR="000257E2" w:rsidRPr="00644F82">
        <w:rPr>
          <w:color w:val="000000" w:themeColor="text1"/>
          <w:shd w:val="clear" w:color="auto" w:fill="FFFFFF"/>
        </w:rPr>
        <w:lastRenderedPageBreak/>
        <w:t>and discussions of visual regimes, and apply it to examine how recruitment posters depicted women’s wage labor and framed female participation in the public sphere. Following this, I evaluate the effectiveness of these campaigns in mobilizing women while simultaneously reinforcing the traditional gender hierarchy. Finally, I turn to the immediate postwar period, showing how the gendered nature of wartime propaganda continued to shape women’s place in the public sphere and reinforced conventional notions of domesticity. By tracing this trajectory, this paper demonstrates that even the most iconic images of female empowerment ultimately functioned to uphold mid-20</w:t>
      </w:r>
      <w:r w:rsidR="000257E2" w:rsidRPr="00644F82">
        <w:rPr>
          <w:color w:val="000000" w:themeColor="text1"/>
          <w:shd w:val="clear" w:color="auto" w:fill="FFFFFF"/>
          <w:vertAlign w:val="superscript"/>
        </w:rPr>
        <w:t>th</w:t>
      </w:r>
      <w:r w:rsidR="000257E2" w:rsidRPr="00644F82">
        <w:rPr>
          <w:color w:val="000000" w:themeColor="text1"/>
          <w:shd w:val="clear" w:color="auto" w:fill="FFFFFF"/>
        </w:rPr>
        <w:t xml:space="preserve"> century ideals of femininity and domestic labor.</w:t>
      </w:r>
    </w:p>
    <w:p w14:paraId="12B4B008" w14:textId="63E800CC" w:rsidR="00CE4742" w:rsidRPr="00644F82" w:rsidRDefault="00CE4742" w:rsidP="00F6138B">
      <w:pPr>
        <w:pStyle w:val="NormalWeb"/>
        <w:spacing w:before="0" w:beforeAutospacing="0" w:after="0" w:afterAutospacing="0" w:line="480" w:lineRule="auto"/>
        <w:rPr>
          <w:b/>
          <w:bCs/>
          <w:color w:val="000000" w:themeColor="text1"/>
          <w:shd w:val="clear" w:color="auto" w:fill="FFFFFF"/>
        </w:rPr>
      </w:pPr>
      <w:r w:rsidRPr="00644F82">
        <w:rPr>
          <w:b/>
          <w:bCs/>
          <w:color w:val="000000" w:themeColor="text1"/>
          <w:shd w:val="clear" w:color="auto" w:fill="FFFFFF"/>
        </w:rPr>
        <w:t>Working Women?: The Historical Problem</w:t>
      </w:r>
    </w:p>
    <w:p w14:paraId="077D8F70" w14:textId="30948E55" w:rsidR="00CE4742" w:rsidRPr="00644F82" w:rsidRDefault="0074766E" w:rsidP="00D96E87">
      <w:pPr>
        <w:spacing w:line="480" w:lineRule="auto"/>
        <w:ind w:firstLine="720"/>
      </w:pPr>
      <w:r w:rsidRPr="00644F82">
        <w:rPr>
          <w:color w:val="000000" w:themeColor="text1"/>
          <w:shd w:val="clear" w:color="auto" w:fill="FFFFFF"/>
        </w:rPr>
        <w:t xml:space="preserve">Historians have studied World War II recruitment campaigns and the ways in which they both expanded and constrained women’s roles in the public sphere. They acknowledge that this period has been falsely remembered as a time of female empowerment, when in reality, traditional notions about women remained relatively unchanged. More importantly, leading scholars underscore that recruitment propaganda reinforced traditional views of women, such as femininity, sexuality, and domesticity, all the while seemingly advocating for female participation in the public sphere. </w:t>
      </w:r>
      <w:r w:rsidR="001D6ACB">
        <w:rPr>
          <w:color w:val="000000" w:themeColor="text1"/>
          <w:shd w:val="clear" w:color="auto" w:fill="FFFFFF"/>
        </w:rPr>
        <w:t xml:space="preserve">However, my </w:t>
      </w:r>
      <w:r w:rsidR="00F14609">
        <w:rPr>
          <w:color w:val="000000" w:themeColor="text1"/>
          <w:shd w:val="clear" w:color="auto" w:fill="FFFFFF"/>
        </w:rPr>
        <w:t>research</w:t>
      </w:r>
      <w:r w:rsidR="001D6ACB">
        <w:rPr>
          <w:color w:val="000000" w:themeColor="text1"/>
          <w:shd w:val="clear" w:color="auto" w:fill="FFFFFF"/>
        </w:rPr>
        <w:t xml:space="preserve"> differs from previous scholarship in </w:t>
      </w:r>
      <w:r w:rsidR="007B736E">
        <w:rPr>
          <w:color w:val="000000" w:themeColor="text1"/>
          <w:shd w:val="clear" w:color="auto" w:fill="FFFFFF"/>
        </w:rPr>
        <w:t>two</w:t>
      </w:r>
      <w:r w:rsidR="001D6ACB">
        <w:rPr>
          <w:color w:val="000000" w:themeColor="text1"/>
          <w:shd w:val="clear" w:color="auto" w:fill="FFFFFF"/>
        </w:rPr>
        <w:t xml:space="preserve"> major ways.</w:t>
      </w:r>
      <w:r w:rsidRPr="00644F82">
        <w:rPr>
          <w:color w:val="000000" w:themeColor="text1"/>
          <w:shd w:val="clear" w:color="auto" w:fill="FFFFFF"/>
        </w:rPr>
        <w:t xml:space="preserve"> </w:t>
      </w:r>
      <w:r w:rsidR="007B736E">
        <w:rPr>
          <w:color w:val="000000" w:themeColor="text1"/>
          <w:shd w:val="clear" w:color="auto" w:fill="FFFFFF"/>
        </w:rPr>
        <w:t>Firstly,</w:t>
      </w:r>
      <w:r w:rsidR="007B736E">
        <w:t xml:space="preserve"> w</w:t>
      </w:r>
      <w:r w:rsidR="007B736E" w:rsidRPr="00644F82">
        <w:t xml:space="preserve">hile </w:t>
      </w:r>
      <w:r w:rsidR="007B736E">
        <w:t xml:space="preserve">some </w:t>
      </w:r>
      <w:r w:rsidR="007B736E" w:rsidRPr="00644F82">
        <w:t>scholars draw on privately produced posters, cartoons, and advertisements</w:t>
      </w:r>
      <w:r w:rsidR="00D96E87">
        <w:t xml:space="preserve"> that mobilize women to</w:t>
      </w:r>
      <w:r w:rsidR="00223DC6">
        <w:t xml:space="preserve"> support the military or homefront</w:t>
      </w:r>
      <w:r w:rsidR="007B736E" w:rsidRPr="00644F82">
        <w:t>, I draw exclusively on state-sponsored posters</w:t>
      </w:r>
      <w:r w:rsidR="007B736E">
        <w:t xml:space="preserve"> aimed at increasing the number of women in the non-military workforce, such as industrial and factory work</w:t>
      </w:r>
      <w:r w:rsidR="007B736E" w:rsidRPr="00644F82">
        <w:t>.</w:t>
      </w:r>
      <w:r w:rsidR="007B736E">
        <w:rPr>
          <w:rStyle w:val="FootnoteReference"/>
        </w:rPr>
        <w:footnoteReference w:id="7"/>
      </w:r>
      <w:r w:rsidR="0029171C">
        <w:t xml:space="preserve"> </w:t>
      </w:r>
      <w:r w:rsidR="0029171C">
        <w:rPr>
          <w:color w:val="000000" w:themeColor="text1"/>
          <w:shd w:val="clear" w:color="auto" w:fill="FFFFFF"/>
        </w:rPr>
        <w:t>Secondly</w:t>
      </w:r>
      <w:r w:rsidR="001D6ACB">
        <w:rPr>
          <w:color w:val="000000" w:themeColor="text1"/>
          <w:shd w:val="clear" w:color="auto" w:fill="FFFFFF"/>
        </w:rPr>
        <w:t>,</w:t>
      </w:r>
      <w:r w:rsidRPr="00644F82">
        <w:rPr>
          <w:color w:val="000000" w:themeColor="text1"/>
          <w:shd w:val="clear" w:color="auto" w:fill="FFFFFF"/>
        </w:rPr>
        <w:t xml:space="preserve"> </w:t>
      </w:r>
      <w:r w:rsidR="0029171C">
        <w:rPr>
          <w:color w:val="000000" w:themeColor="text1"/>
          <w:shd w:val="clear" w:color="auto" w:fill="FFFFFF"/>
        </w:rPr>
        <w:t xml:space="preserve">and more significantly, </w:t>
      </w:r>
      <w:r w:rsidR="002B3162" w:rsidRPr="00644F82">
        <w:t xml:space="preserve">my framework sets me </w:t>
      </w:r>
      <w:r w:rsidR="002B3162" w:rsidRPr="00644F82">
        <w:lastRenderedPageBreak/>
        <w:t xml:space="preserve">apart from previous scholarship. I draw on social reproduction theory and discussions of visual regimes to reveal the ways in which women were depicted as wage laborers without threatening patriarchal structures and how traditional notions of femininity were simultaneously preserved even as women participated in industrial work. </w:t>
      </w:r>
    </w:p>
    <w:p w14:paraId="023B9158" w14:textId="7F9B7FE5" w:rsidR="00777090" w:rsidRPr="00644F82" w:rsidRDefault="00CE74DA" w:rsidP="00F6138B">
      <w:pPr>
        <w:spacing w:line="480" w:lineRule="auto"/>
        <w:rPr>
          <w:b/>
          <w:bCs/>
          <w:color w:val="000000" w:themeColor="text1"/>
        </w:rPr>
      </w:pPr>
      <w:r w:rsidRPr="00644F82">
        <w:rPr>
          <w:b/>
          <w:bCs/>
          <w:color w:val="000000" w:themeColor="text1"/>
        </w:rPr>
        <w:t>The American Woman: History of Gender and Women’s Roles</w:t>
      </w:r>
    </w:p>
    <w:p w14:paraId="366664F6" w14:textId="5C0492ED" w:rsidR="00450F5D" w:rsidRPr="00644F82" w:rsidRDefault="00EC2242" w:rsidP="00F6138B">
      <w:pPr>
        <w:spacing w:line="480" w:lineRule="auto"/>
        <w:rPr>
          <w:color w:val="000000" w:themeColor="text1"/>
        </w:rPr>
      </w:pPr>
      <w:r w:rsidRPr="00644F82">
        <w:rPr>
          <w:color w:val="000000" w:themeColor="text1"/>
        </w:rPr>
        <w:tab/>
      </w:r>
      <w:r w:rsidR="00601E7E" w:rsidRPr="00644F82">
        <w:rPr>
          <w:color w:val="000000" w:themeColor="text1"/>
        </w:rPr>
        <w:t>G</w:t>
      </w:r>
      <w:r w:rsidR="00591356" w:rsidRPr="00644F82">
        <w:rPr>
          <w:color w:val="000000" w:themeColor="text1"/>
        </w:rPr>
        <w:t>ende</w:t>
      </w:r>
      <w:r w:rsidR="00777090">
        <w:rPr>
          <w:color w:val="000000" w:themeColor="text1"/>
        </w:rPr>
        <w:t>r history</w:t>
      </w:r>
      <w:r w:rsidR="00591356" w:rsidRPr="00644F82">
        <w:rPr>
          <w:color w:val="000000" w:themeColor="text1"/>
        </w:rPr>
        <w:t xml:space="preserve"> </w:t>
      </w:r>
      <w:r w:rsidR="00601E7E" w:rsidRPr="00644F82">
        <w:rPr>
          <w:color w:val="000000" w:themeColor="text1"/>
        </w:rPr>
        <w:t>focuses</w:t>
      </w:r>
      <w:r w:rsidR="00591356" w:rsidRPr="00644F82">
        <w:rPr>
          <w:color w:val="000000" w:themeColor="text1"/>
        </w:rPr>
        <w:t xml:space="preserve"> </w:t>
      </w:r>
      <w:r w:rsidR="00B13203" w:rsidRPr="00644F82">
        <w:rPr>
          <w:color w:val="000000" w:themeColor="text1"/>
        </w:rPr>
        <w:t xml:space="preserve">on </w:t>
      </w:r>
      <w:r w:rsidR="00591356" w:rsidRPr="00644F82">
        <w:rPr>
          <w:color w:val="000000" w:themeColor="text1"/>
        </w:rPr>
        <w:t xml:space="preserve">the </w:t>
      </w:r>
      <w:r w:rsidR="00601E7E" w:rsidRPr="00644F82">
        <w:rPr>
          <w:color w:val="000000" w:themeColor="text1"/>
        </w:rPr>
        <w:t xml:space="preserve">relationship between sexes, insisting that </w:t>
      </w:r>
      <w:r w:rsidR="00591356" w:rsidRPr="00644F82">
        <w:rPr>
          <w:color w:val="000000" w:themeColor="text1"/>
        </w:rPr>
        <w:t xml:space="preserve">men and women </w:t>
      </w:r>
      <w:r w:rsidR="003B720F" w:rsidRPr="00644F82">
        <w:rPr>
          <w:color w:val="000000" w:themeColor="text1"/>
        </w:rPr>
        <w:t>must</w:t>
      </w:r>
      <w:r w:rsidR="00591356" w:rsidRPr="00644F82">
        <w:rPr>
          <w:color w:val="000000" w:themeColor="text1"/>
        </w:rPr>
        <w:t xml:space="preserve"> be studied </w:t>
      </w:r>
      <w:r w:rsidR="003B720F" w:rsidRPr="00644F82">
        <w:rPr>
          <w:color w:val="000000" w:themeColor="text1"/>
        </w:rPr>
        <w:t>together</w:t>
      </w:r>
      <w:r w:rsidR="00591356" w:rsidRPr="00644F82">
        <w:rPr>
          <w:color w:val="000000" w:themeColor="text1"/>
        </w:rPr>
        <w:t xml:space="preserve"> </w:t>
      </w:r>
      <w:r w:rsidR="00601E7E" w:rsidRPr="00644F82">
        <w:rPr>
          <w:color w:val="000000" w:themeColor="text1"/>
        </w:rPr>
        <w:t>to fully</w:t>
      </w:r>
      <w:r w:rsidR="003B720F" w:rsidRPr="00644F82">
        <w:rPr>
          <w:color w:val="000000" w:themeColor="text1"/>
        </w:rPr>
        <w:t xml:space="preserve"> </w:t>
      </w:r>
      <w:r w:rsidR="00591356" w:rsidRPr="00644F82">
        <w:rPr>
          <w:color w:val="000000" w:themeColor="text1"/>
        </w:rPr>
        <w:t xml:space="preserve">understand the power structures and societal expectations that </w:t>
      </w:r>
      <w:r w:rsidR="00601E7E" w:rsidRPr="00644F82">
        <w:rPr>
          <w:color w:val="000000" w:themeColor="text1"/>
        </w:rPr>
        <w:t>shape</w:t>
      </w:r>
      <w:r w:rsidR="00591356" w:rsidRPr="00644F82">
        <w:rPr>
          <w:color w:val="000000" w:themeColor="text1"/>
        </w:rPr>
        <w:t xml:space="preserve"> both groups</w:t>
      </w:r>
      <w:r w:rsidR="00E06B58" w:rsidRPr="00644F82">
        <w:rPr>
          <w:color w:val="000000" w:themeColor="text1"/>
        </w:rPr>
        <w:t>’ roles</w:t>
      </w:r>
      <w:r w:rsidR="00591356" w:rsidRPr="00644F82">
        <w:rPr>
          <w:color w:val="000000" w:themeColor="text1"/>
        </w:rPr>
        <w:t>.</w:t>
      </w:r>
      <w:r w:rsidR="00591356" w:rsidRPr="00644F82">
        <w:rPr>
          <w:rStyle w:val="FootnoteReference"/>
          <w:color w:val="000000" w:themeColor="text1"/>
        </w:rPr>
        <w:footnoteReference w:id="8"/>
      </w:r>
      <w:r w:rsidR="00591356" w:rsidRPr="00644F82">
        <w:rPr>
          <w:color w:val="000000" w:themeColor="text1"/>
        </w:rPr>
        <w:t xml:space="preserve"> </w:t>
      </w:r>
      <w:r w:rsidR="00601E7E" w:rsidRPr="00644F82">
        <w:rPr>
          <w:color w:val="000000" w:themeColor="text1"/>
        </w:rPr>
        <w:t>V</w:t>
      </w:r>
      <w:r w:rsidR="00591356" w:rsidRPr="00644F82">
        <w:rPr>
          <w:color w:val="000000" w:themeColor="text1"/>
        </w:rPr>
        <w:t xml:space="preserve">iewing gender as a </w:t>
      </w:r>
      <w:r w:rsidR="00601E7E" w:rsidRPr="00644F82">
        <w:rPr>
          <w:color w:val="000000" w:themeColor="text1"/>
        </w:rPr>
        <w:t xml:space="preserve">critical </w:t>
      </w:r>
      <w:r w:rsidR="00591356" w:rsidRPr="00644F82">
        <w:rPr>
          <w:color w:val="000000" w:themeColor="text1"/>
        </w:rPr>
        <w:t>category of analysis</w:t>
      </w:r>
      <w:r w:rsidR="00000018" w:rsidRPr="00644F82">
        <w:rPr>
          <w:color w:val="000000" w:themeColor="text1"/>
        </w:rPr>
        <w:t xml:space="preserve"> </w:t>
      </w:r>
      <w:r w:rsidR="00601E7E" w:rsidRPr="00644F82">
        <w:rPr>
          <w:color w:val="000000" w:themeColor="text1"/>
        </w:rPr>
        <w:t>reveals</w:t>
      </w:r>
      <w:r w:rsidR="00000018" w:rsidRPr="00644F82">
        <w:rPr>
          <w:color w:val="000000" w:themeColor="text1"/>
        </w:rPr>
        <w:t xml:space="preserve"> </w:t>
      </w:r>
      <w:r w:rsidR="00601E7E" w:rsidRPr="00644F82">
        <w:rPr>
          <w:color w:val="000000" w:themeColor="text1"/>
        </w:rPr>
        <w:t>how society constructs and enforces relationships of power and difference</w:t>
      </w:r>
      <w:r w:rsidR="00B13203" w:rsidRPr="00644F82">
        <w:rPr>
          <w:color w:val="000000" w:themeColor="text1"/>
        </w:rPr>
        <w:t>,</w:t>
      </w:r>
      <w:r w:rsidR="00C3559D" w:rsidRPr="00644F82">
        <w:rPr>
          <w:color w:val="000000" w:themeColor="text1"/>
        </w:rPr>
        <w:t xml:space="preserve"> relying on masculinity and femininity</w:t>
      </w:r>
      <w:r w:rsidR="00000018" w:rsidRPr="00644F82">
        <w:rPr>
          <w:color w:val="000000" w:themeColor="text1"/>
        </w:rPr>
        <w:t>.</w:t>
      </w:r>
      <w:r w:rsidR="00613814" w:rsidRPr="00644F82">
        <w:rPr>
          <w:color w:val="000000" w:themeColor="text1"/>
        </w:rPr>
        <w:t xml:space="preserve"> As historian Joan Scott </w:t>
      </w:r>
      <w:r w:rsidR="00601E7E" w:rsidRPr="00644F82">
        <w:rPr>
          <w:color w:val="000000" w:themeColor="text1"/>
        </w:rPr>
        <w:t>explains</w:t>
      </w:r>
      <w:r w:rsidR="00613814" w:rsidRPr="00644F82">
        <w:rPr>
          <w:color w:val="000000" w:themeColor="text1"/>
        </w:rPr>
        <w:t xml:space="preserve"> in her</w:t>
      </w:r>
      <w:r w:rsidR="00C3559D" w:rsidRPr="00644F82">
        <w:rPr>
          <w:color w:val="000000" w:themeColor="text1"/>
        </w:rPr>
        <w:t xml:space="preserve"> classic</w:t>
      </w:r>
      <w:r w:rsidR="00613814" w:rsidRPr="00644F82">
        <w:rPr>
          <w:color w:val="000000" w:themeColor="text1"/>
        </w:rPr>
        <w:t xml:space="preserve"> essay “Gender: A Useful Category of Analysis,” “gender is a primary wa</w:t>
      </w:r>
      <w:r w:rsidR="00053B88" w:rsidRPr="00644F82">
        <w:rPr>
          <w:color w:val="000000" w:themeColor="text1"/>
        </w:rPr>
        <w:t>y</w:t>
      </w:r>
      <w:r w:rsidR="00613814" w:rsidRPr="00644F82">
        <w:rPr>
          <w:color w:val="000000" w:themeColor="text1"/>
        </w:rPr>
        <w:t xml:space="preserve"> of signifying relationships of power.”</w:t>
      </w:r>
      <w:r w:rsidR="00613814" w:rsidRPr="00644F82">
        <w:rPr>
          <w:rStyle w:val="FootnoteReference"/>
          <w:color w:val="000000" w:themeColor="text1"/>
        </w:rPr>
        <w:footnoteReference w:id="9"/>
      </w:r>
      <w:r w:rsidR="00000018" w:rsidRPr="00644F82">
        <w:rPr>
          <w:color w:val="000000" w:themeColor="text1"/>
        </w:rPr>
        <w:t xml:space="preserve"> </w:t>
      </w:r>
      <w:r w:rsidR="0087414E" w:rsidRPr="00644F82">
        <w:rPr>
          <w:color w:val="000000" w:themeColor="text1"/>
        </w:rPr>
        <w:t xml:space="preserve">Gender </w:t>
      </w:r>
      <w:r w:rsidR="00601E7E" w:rsidRPr="00644F82">
        <w:rPr>
          <w:color w:val="000000" w:themeColor="text1"/>
        </w:rPr>
        <w:t>functions a</w:t>
      </w:r>
      <w:r w:rsidR="006B232D" w:rsidRPr="00644F82">
        <w:rPr>
          <w:color w:val="000000" w:themeColor="text1"/>
        </w:rPr>
        <w:t>s a tool of dominance</w:t>
      </w:r>
      <w:r w:rsidR="00C3559D" w:rsidRPr="00644F82">
        <w:rPr>
          <w:color w:val="000000" w:themeColor="text1"/>
        </w:rPr>
        <w:t xml:space="preserve"> by those socialized as men over women</w:t>
      </w:r>
      <w:r w:rsidR="006B232D" w:rsidRPr="00644F82">
        <w:rPr>
          <w:color w:val="000000" w:themeColor="text1"/>
        </w:rPr>
        <w:t xml:space="preserve">; contrary to popular </w:t>
      </w:r>
      <w:r w:rsidR="00C3559D" w:rsidRPr="00644F82">
        <w:rPr>
          <w:color w:val="000000" w:themeColor="text1"/>
        </w:rPr>
        <w:t>beliefs</w:t>
      </w:r>
      <w:r w:rsidR="006B232D" w:rsidRPr="00644F82">
        <w:rPr>
          <w:color w:val="000000" w:themeColor="text1"/>
        </w:rPr>
        <w:t>, these patterns are not the inevitable result of history, but rather are deliberately constructed and maintained through social, political, and economic systems</w:t>
      </w:r>
      <w:r w:rsidR="0087414E" w:rsidRPr="00644F82">
        <w:rPr>
          <w:color w:val="000000" w:themeColor="text1"/>
        </w:rPr>
        <w:t>.</w:t>
      </w:r>
      <w:r w:rsidR="0087414E" w:rsidRPr="00644F82">
        <w:rPr>
          <w:rStyle w:val="FootnoteReference"/>
          <w:color w:val="000000" w:themeColor="text1"/>
        </w:rPr>
        <w:footnoteReference w:id="10"/>
      </w:r>
      <w:r w:rsidR="0087414E" w:rsidRPr="00644F82">
        <w:rPr>
          <w:color w:val="000000" w:themeColor="text1"/>
        </w:rPr>
        <w:t xml:space="preserve"> </w:t>
      </w:r>
      <w:r w:rsidR="006B232D" w:rsidRPr="00644F82">
        <w:rPr>
          <w:color w:val="000000" w:themeColor="text1"/>
        </w:rPr>
        <w:t>Gender history, therefore, forcefully challenges traditional narratives by exposing and dismantling the rigid gender roles present in society</w:t>
      </w:r>
      <w:r w:rsidR="0087414E" w:rsidRPr="00644F82">
        <w:rPr>
          <w:color w:val="000000" w:themeColor="text1"/>
        </w:rPr>
        <w:t>.</w:t>
      </w:r>
      <w:r w:rsidR="0087414E" w:rsidRPr="00644F82">
        <w:rPr>
          <w:rStyle w:val="FootnoteReference"/>
          <w:color w:val="000000" w:themeColor="text1"/>
        </w:rPr>
        <w:footnoteReference w:id="11"/>
      </w:r>
      <w:r w:rsidR="0087414E" w:rsidRPr="00644F82">
        <w:rPr>
          <w:color w:val="000000" w:themeColor="text1"/>
        </w:rPr>
        <w:t xml:space="preserve"> </w:t>
      </w:r>
      <w:r w:rsidR="006B232D" w:rsidRPr="00644F82">
        <w:rPr>
          <w:color w:val="000000" w:themeColor="text1"/>
        </w:rPr>
        <w:t>Recognizing these links between gender and power, historians have clarified the definitions of masculinity and femininity</w:t>
      </w:r>
      <w:r w:rsidR="0087414E" w:rsidRPr="00644F82">
        <w:rPr>
          <w:color w:val="000000" w:themeColor="text1"/>
        </w:rPr>
        <w:t xml:space="preserve">. Masculinity </w:t>
      </w:r>
      <w:r w:rsidR="004448CA" w:rsidRPr="00644F82">
        <w:rPr>
          <w:color w:val="000000" w:themeColor="text1"/>
        </w:rPr>
        <w:t xml:space="preserve">has </w:t>
      </w:r>
      <w:r w:rsidR="006B232D" w:rsidRPr="00644F82">
        <w:rPr>
          <w:color w:val="000000" w:themeColor="text1"/>
        </w:rPr>
        <w:t>been associated with</w:t>
      </w:r>
      <w:r w:rsidR="0087414E" w:rsidRPr="00644F82">
        <w:rPr>
          <w:color w:val="000000" w:themeColor="text1"/>
        </w:rPr>
        <w:t xml:space="preserve"> dominance, strength, and </w:t>
      </w:r>
      <w:r w:rsidR="004448CA" w:rsidRPr="00644F82">
        <w:rPr>
          <w:color w:val="000000" w:themeColor="text1"/>
        </w:rPr>
        <w:t>authority</w:t>
      </w:r>
      <w:r w:rsidR="0087414E" w:rsidRPr="00644F82">
        <w:rPr>
          <w:color w:val="000000" w:themeColor="text1"/>
        </w:rPr>
        <w:t xml:space="preserve">, while femininity has been </w:t>
      </w:r>
      <w:r w:rsidR="006B232D" w:rsidRPr="00644F82">
        <w:rPr>
          <w:color w:val="000000" w:themeColor="text1"/>
        </w:rPr>
        <w:t>cast</w:t>
      </w:r>
      <w:r w:rsidR="0087414E" w:rsidRPr="00644F82">
        <w:rPr>
          <w:color w:val="000000" w:themeColor="text1"/>
        </w:rPr>
        <w:t xml:space="preserve"> as </w:t>
      </w:r>
      <w:r w:rsidR="004448CA" w:rsidRPr="00644F82">
        <w:rPr>
          <w:color w:val="000000" w:themeColor="text1"/>
        </w:rPr>
        <w:t>subversive, weak, and almost foreign.</w:t>
      </w:r>
      <w:r w:rsidR="004448CA" w:rsidRPr="00644F82">
        <w:rPr>
          <w:rStyle w:val="FootnoteReference"/>
          <w:color w:val="000000" w:themeColor="text1"/>
        </w:rPr>
        <w:footnoteReference w:id="12"/>
      </w:r>
      <w:r w:rsidR="004448CA" w:rsidRPr="00644F82">
        <w:rPr>
          <w:color w:val="000000" w:themeColor="text1"/>
        </w:rPr>
        <w:t xml:space="preserve"> In this </w:t>
      </w:r>
      <w:r w:rsidR="006B232D" w:rsidRPr="00644F82">
        <w:rPr>
          <w:color w:val="000000" w:themeColor="text1"/>
        </w:rPr>
        <w:t>framework</w:t>
      </w:r>
      <w:r w:rsidR="004448CA" w:rsidRPr="00644F82">
        <w:rPr>
          <w:color w:val="000000" w:themeColor="text1"/>
        </w:rPr>
        <w:t xml:space="preserve">, women </w:t>
      </w:r>
      <w:r w:rsidR="006B232D" w:rsidRPr="00644F82">
        <w:rPr>
          <w:color w:val="000000" w:themeColor="text1"/>
        </w:rPr>
        <w:t xml:space="preserve">are positioned as a group to be controlled and dominated, highlighting </w:t>
      </w:r>
      <w:r w:rsidR="006B232D" w:rsidRPr="00644F82">
        <w:rPr>
          <w:color w:val="000000" w:themeColor="text1"/>
        </w:rPr>
        <w:lastRenderedPageBreak/>
        <w:t>the constructed gender hierarchy and reinforcing the perceived importance of “women’s maternal and reproductive functions</w:t>
      </w:r>
      <w:r w:rsidR="004448CA" w:rsidRPr="00644F82">
        <w:rPr>
          <w:color w:val="000000" w:themeColor="text1"/>
        </w:rPr>
        <w:t>.”</w:t>
      </w:r>
      <w:r w:rsidR="004448CA" w:rsidRPr="00644F82">
        <w:rPr>
          <w:rStyle w:val="FootnoteReference"/>
          <w:color w:val="000000" w:themeColor="text1"/>
        </w:rPr>
        <w:footnoteReference w:id="13"/>
      </w:r>
      <w:r w:rsidR="004448CA" w:rsidRPr="00644F82">
        <w:rPr>
          <w:color w:val="000000" w:themeColor="text1"/>
        </w:rPr>
        <w:t xml:space="preserve"> </w:t>
      </w:r>
    </w:p>
    <w:p w14:paraId="44054840" w14:textId="34567C9D" w:rsidR="00CE74DA" w:rsidRPr="00644F82" w:rsidRDefault="006B232D" w:rsidP="00450F5D">
      <w:pPr>
        <w:spacing w:line="480" w:lineRule="auto"/>
        <w:ind w:firstLine="720"/>
        <w:rPr>
          <w:color w:val="000000" w:themeColor="text1"/>
        </w:rPr>
      </w:pPr>
      <w:r w:rsidRPr="00644F82">
        <w:rPr>
          <w:color w:val="000000" w:themeColor="text1"/>
        </w:rPr>
        <w:t>In</w:t>
      </w:r>
      <w:r w:rsidR="00D911B3" w:rsidRPr="00644F82">
        <w:rPr>
          <w:color w:val="000000" w:themeColor="text1"/>
        </w:rPr>
        <w:t xml:space="preserve"> this paper</w:t>
      </w:r>
      <w:r w:rsidRPr="00644F82">
        <w:rPr>
          <w:color w:val="000000" w:themeColor="text1"/>
        </w:rPr>
        <w:t>, I draw on Scott’s and other historians’ discussions to illustrate how World War II propaganda was gendered</w:t>
      </w:r>
      <w:r w:rsidR="00C3559D" w:rsidRPr="00644F82">
        <w:rPr>
          <w:color w:val="000000" w:themeColor="text1"/>
        </w:rPr>
        <w:t>, centering the women it targeted in their maternal, domestic, and reproductive functions even as it encouraged them to adopt positions in the workforce alongside men</w:t>
      </w:r>
      <w:r w:rsidRPr="00644F82">
        <w:rPr>
          <w:color w:val="000000" w:themeColor="text1"/>
        </w:rPr>
        <w:t xml:space="preserve">. I use the word ‘gendered’ intentionally because it expresses how there were certain biases toward women, encompassing elements of inferiority and weakness, and these biases were present in these mobilization campaigns. Importantly, not only were they present in these mobilization campaigns, but they also played a crucial role in framing these campaigns in a way that </w:t>
      </w:r>
      <w:r w:rsidR="00C048C8" w:rsidRPr="00644F82">
        <w:rPr>
          <w:color w:val="000000" w:themeColor="text1"/>
        </w:rPr>
        <w:t xml:space="preserve">was acceptable to American society </w:t>
      </w:r>
      <w:r w:rsidRPr="00644F82">
        <w:rPr>
          <w:color w:val="000000" w:themeColor="text1"/>
        </w:rPr>
        <w:t xml:space="preserve">—as I will discuss later on. </w:t>
      </w:r>
      <w:r w:rsidR="00450F5D" w:rsidRPr="00644F82">
        <w:rPr>
          <w:color w:val="000000" w:themeColor="text1"/>
        </w:rPr>
        <w:t xml:space="preserve">  </w:t>
      </w:r>
    </w:p>
    <w:p w14:paraId="4F89A913" w14:textId="18244F5C" w:rsidR="00CE4742" w:rsidRPr="00644F82" w:rsidRDefault="00CE4742" w:rsidP="00F6138B">
      <w:pPr>
        <w:spacing w:line="480" w:lineRule="auto"/>
        <w:rPr>
          <w:b/>
          <w:bCs/>
          <w:color w:val="000000" w:themeColor="text1"/>
        </w:rPr>
      </w:pPr>
      <w:r w:rsidRPr="00644F82">
        <w:rPr>
          <w:b/>
          <w:bCs/>
          <w:color w:val="000000" w:themeColor="text1"/>
        </w:rPr>
        <w:t>A World at War: The American Homefront During World War II</w:t>
      </w:r>
    </w:p>
    <w:p w14:paraId="3F026191" w14:textId="0A03C4AA" w:rsidR="00D03793" w:rsidRPr="00644F82" w:rsidRDefault="0074766E" w:rsidP="00595FDE">
      <w:pPr>
        <w:spacing w:line="480" w:lineRule="auto"/>
        <w:ind w:firstLine="720"/>
        <w:rPr>
          <w:color w:val="000000" w:themeColor="text1"/>
        </w:rPr>
      </w:pPr>
      <w:r w:rsidRPr="00644F82">
        <w:rPr>
          <w:color w:val="000000" w:themeColor="text1"/>
        </w:rPr>
        <w:t>Leading up to World War II, the United States was still recovering from the Great Depression. Not only did the Great Depression devastate America’s economy, but it also harmed the country’s social progress</w:t>
      </w:r>
      <w:r w:rsidR="00C3559D" w:rsidRPr="00644F82">
        <w:rPr>
          <w:color w:val="000000" w:themeColor="text1"/>
        </w:rPr>
        <w:t xml:space="preserve">, exemplified by </w:t>
      </w:r>
      <w:r w:rsidRPr="00644F82">
        <w:rPr>
          <w:color w:val="000000" w:themeColor="text1"/>
        </w:rPr>
        <w:t>the passage of the 19</w:t>
      </w:r>
      <w:r w:rsidRPr="00644F82">
        <w:rPr>
          <w:color w:val="000000" w:themeColor="text1"/>
          <w:vertAlign w:val="superscript"/>
        </w:rPr>
        <w:t>th</w:t>
      </w:r>
      <w:r w:rsidRPr="00644F82">
        <w:rPr>
          <w:color w:val="000000" w:themeColor="text1"/>
        </w:rPr>
        <w:t xml:space="preserve"> </w:t>
      </w:r>
      <w:r w:rsidR="003B720F" w:rsidRPr="00644F82">
        <w:rPr>
          <w:color w:val="000000" w:themeColor="text1"/>
        </w:rPr>
        <w:t>A</w:t>
      </w:r>
      <w:r w:rsidRPr="00644F82">
        <w:rPr>
          <w:color w:val="000000" w:themeColor="text1"/>
        </w:rPr>
        <w:t>mendment</w:t>
      </w:r>
      <w:r w:rsidR="00C3559D" w:rsidRPr="00644F82">
        <w:rPr>
          <w:color w:val="000000" w:themeColor="text1"/>
        </w:rPr>
        <w:t xml:space="preserve"> in </w:t>
      </w:r>
      <w:r w:rsidRPr="00644F82">
        <w:rPr>
          <w:color w:val="000000" w:themeColor="text1"/>
        </w:rPr>
        <w:t>the 19</w:t>
      </w:r>
      <w:r w:rsidR="00595FDE" w:rsidRPr="00644F82">
        <w:rPr>
          <w:color w:val="000000" w:themeColor="text1"/>
        </w:rPr>
        <w:t>20</w:t>
      </w:r>
      <w:r w:rsidR="006518B8" w:rsidRPr="00644F82">
        <w:rPr>
          <w:color w:val="000000" w:themeColor="text1"/>
        </w:rPr>
        <w:t>—granting women the right to vote.</w:t>
      </w:r>
      <w:r w:rsidRPr="00644F82">
        <w:rPr>
          <w:color w:val="000000" w:themeColor="text1"/>
        </w:rPr>
        <w:t xml:space="preserve"> For the first time in American history, women were able to actively participate in politics. </w:t>
      </w:r>
      <w:r w:rsidR="00595FDE" w:rsidRPr="00644F82">
        <w:rPr>
          <w:color w:val="000000" w:themeColor="text1"/>
        </w:rPr>
        <w:t>Once enfranchised, women desired to expand their political influence by championing issues, such as disarmament and the peace movement, and were successful.</w:t>
      </w:r>
      <w:r w:rsidR="00595FDE" w:rsidRPr="00644F82">
        <w:rPr>
          <w:rStyle w:val="FootnoteReference"/>
          <w:color w:val="000000" w:themeColor="text1"/>
        </w:rPr>
        <w:footnoteReference w:id="14"/>
      </w:r>
      <w:r w:rsidR="00985F29" w:rsidRPr="00644F82">
        <w:rPr>
          <w:color w:val="000000" w:themeColor="text1"/>
        </w:rPr>
        <w:t xml:space="preserve"> </w:t>
      </w:r>
      <w:r w:rsidR="00595FDE" w:rsidRPr="00644F82">
        <w:rPr>
          <w:color w:val="000000" w:themeColor="text1"/>
        </w:rPr>
        <w:t>While only a select few were elected to the House of Representatives,</w:t>
      </w:r>
      <w:r w:rsidR="00985F29" w:rsidRPr="00644F82">
        <w:rPr>
          <w:color w:val="000000" w:themeColor="text1"/>
        </w:rPr>
        <w:t xml:space="preserve"> more women were successful in gaining positions in local government, mainly because these positions were non-partisan and therefore aligned more with the belief that women should operate “above politics.”</w:t>
      </w:r>
      <w:r w:rsidR="00985F29" w:rsidRPr="00644F82">
        <w:rPr>
          <w:rStyle w:val="FootnoteReference"/>
          <w:color w:val="000000" w:themeColor="text1"/>
        </w:rPr>
        <w:footnoteReference w:id="15"/>
      </w:r>
      <w:r w:rsidR="00985F29" w:rsidRPr="00644F82">
        <w:rPr>
          <w:color w:val="000000" w:themeColor="text1"/>
        </w:rPr>
        <w:t xml:space="preserve"> </w:t>
      </w:r>
    </w:p>
    <w:p w14:paraId="0DDF095D" w14:textId="7C7F500B" w:rsidR="0074766E" w:rsidRPr="00644F82" w:rsidRDefault="00D03793" w:rsidP="00595FDE">
      <w:pPr>
        <w:spacing w:line="480" w:lineRule="auto"/>
        <w:ind w:firstLine="720"/>
        <w:rPr>
          <w:color w:val="000000" w:themeColor="text1"/>
        </w:rPr>
      </w:pPr>
      <w:r w:rsidRPr="00644F82">
        <w:rPr>
          <w:color w:val="000000" w:themeColor="text1"/>
        </w:rPr>
        <w:lastRenderedPageBreak/>
        <w:t xml:space="preserve">Enfranchisement enabled women to expand beyond their domestic roles by participating in politics; however, this </w:t>
      </w:r>
      <w:r w:rsidR="0074766E" w:rsidRPr="00644F82">
        <w:rPr>
          <w:color w:val="000000" w:themeColor="text1"/>
        </w:rPr>
        <w:t xml:space="preserve">was short-lived as the </w:t>
      </w:r>
      <w:r w:rsidR="00C3559D" w:rsidRPr="00644F82">
        <w:rPr>
          <w:color w:val="000000" w:themeColor="text1"/>
        </w:rPr>
        <w:t xml:space="preserve">economic </w:t>
      </w:r>
      <w:r w:rsidR="0074766E" w:rsidRPr="00644F82">
        <w:rPr>
          <w:color w:val="000000" w:themeColor="text1"/>
        </w:rPr>
        <w:t>realities of the depression set in.</w:t>
      </w:r>
      <w:r w:rsidRPr="00644F82">
        <w:rPr>
          <w:color w:val="000000" w:themeColor="text1"/>
        </w:rPr>
        <w:t xml:space="preserve"> Women were called upon to </w:t>
      </w:r>
      <w:r w:rsidR="0074766E" w:rsidRPr="00644F82">
        <w:rPr>
          <w:color w:val="000000" w:themeColor="text1"/>
        </w:rPr>
        <w:t>comfort their families</w:t>
      </w:r>
      <w:r w:rsidRPr="00644F82">
        <w:rPr>
          <w:color w:val="000000" w:themeColor="text1"/>
        </w:rPr>
        <w:t xml:space="preserve"> in this time of economic instability, </w:t>
      </w:r>
      <w:r w:rsidR="00FE4480" w:rsidRPr="00644F82">
        <w:rPr>
          <w:color w:val="000000" w:themeColor="text1"/>
        </w:rPr>
        <w:t>reveal</w:t>
      </w:r>
      <w:r w:rsidR="00424DA1">
        <w:rPr>
          <w:color w:val="000000" w:themeColor="text1"/>
        </w:rPr>
        <w:t>ing the</w:t>
      </w:r>
      <w:r w:rsidR="00FE4480" w:rsidRPr="00644F82">
        <w:rPr>
          <w:color w:val="000000" w:themeColor="text1"/>
        </w:rPr>
        <w:t xml:space="preserve"> ways in which domesticity could alleviate some of the economic burdens brought on by the Depression</w:t>
      </w:r>
      <w:r w:rsidR="00B13203" w:rsidRPr="00644F82">
        <w:rPr>
          <w:color w:val="000000" w:themeColor="text1"/>
        </w:rPr>
        <w:t>. C</w:t>
      </w:r>
      <w:r w:rsidR="00FE4480" w:rsidRPr="00644F82">
        <w:rPr>
          <w:color w:val="000000" w:themeColor="text1"/>
        </w:rPr>
        <w:t>onsequently</w:t>
      </w:r>
      <w:r w:rsidR="00B13203" w:rsidRPr="00644F82">
        <w:rPr>
          <w:color w:val="000000" w:themeColor="text1"/>
        </w:rPr>
        <w:t>, this</w:t>
      </w:r>
      <w:r w:rsidR="0074766E" w:rsidRPr="00644F82">
        <w:rPr>
          <w:color w:val="000000" w:themeColor="text1"/>
        </w:rPr>
        <w:t xml:space="preserve"> </w:t>
      </w:r>
      <w:r w:rsidR="00FE4480" w:rsidRPr="00644F82">
        <w:rPr>
          <w:color w:val="000000" w:themeColor="text1"/>
        </w:rPr>
        <w:t>promoted</w:t>
      </w:r>
      <w:r w:rsidR="0074766E" w:rsidRPr="00644F82">
        <w:rPr>
          <w:color w:val="000000" w:themeColor="text1"/>
        </w:rPr>
        <w:t xml:space="preserve"> a view of womanhood that emphasized </w:t>
      </w:r>
      <w:r w:rsidR="00C3559D" w:rsidRPr="00644F82">
        <w:rPr>
          <w:color w:val="000000" w:themeColor="text1"/>
        </w:rPr>
        <w:t>women’s</w:t>
      </w:r>
      <w:r w:rsidR="0074766E" w:rsidRPr="00644F82">
        <w:rPr>
          <w:color w:val="000000" w:themeColor="text1"/>
        </w:rPr>
        <w:t xml:space="preserve"> role as head of the home</w:t>
      </w:r>
      <w:r w:rsidR="00FE4480" w:rsidRPr="00644F82">
        <w:rPr>
          <w:color w:val="000000" w:themeColor="text1"/>
        </w:rPr>
        <w:t>—overshadowing the political momentum women gained in the 1920s</w:t>
      </w:r>
      <w:r w:rsidR="0074766E" w:rsidRPr="00644F82">
        <w:rPr>
          <w:color w:val="000000" w:themeColor="text1"/>
        </w:rPr>
        <w:t>.</w:t>
      </w:r>
      <w:r w:rsidR="0074766E" w:rsidRPr="00644F82">
        <w:rPr>
          <w:rStyle w:val="FootnoteReference"/>
          <w:color w:val="000000" w:themeColor="text1"/>
        </w:rPr>
        <w:footnoteReference w:id="16"/>
      </w:r>
    </w:p>
    <w:p w14:paraId="4076FFF0" w14:textId="0266DC5D" w:rsidR="0074766E" w:rsidRPr="00644F82" w:rsidRDefault="0074766E" w:rsidP="00F6138B">
      <w:pPr>
        <w:spacing w:line="480" w:lineRule="auto"/>
        <w:ind w:firstLine="720"/>
        <w:rPr>
          <w:color w:val="000000" w:themeColor="text1"/>
        </w:rPr>
      </w:pPr>
      <w:r w:rsidRPr="00644F82">
        <w:rPr>
          <w:color w:val="000000" w:themeColor="text1"/>
        </w:rPr>
        <w:t>Although the Great Depression emphasized women’s role as homemakers, it also required many to work</w:t>
      </w:r>
      <w:r w:rsidR="00C3559D" w:rsidRPr="00644F82">
        <w:rPr>
          <w:color w:val="000000" w:themeColor="text1"/>
        </w:rPr>
        <w:t xml:space="preserve"> outside the home</w:t>
      </w:r>
      <w:r w:rsidR="003B720F" w:rsidRPr="00644F82">
        <w:rPr>
          <w:color w:val="000000" w:themeColor="text1"/>
        </w:rPr>
        <w:t>, thereby expanding</w:t>
      </w:r>
      <w:r w:rsidRPr="00644F82">
        <w:rPr>
          <w:color w:val="000000" w:themeColor="text1"/>
        </w:rPr>
        <w:t xml:space="preserve"> their </w:t>
      </w:r>
      <w:r w:rsidR="00C3559D" w:rsidRPr="00644F82">
        <w:rPr>
          <w:color w:val="000000" w:themeColor="text1"/>
        </w:rPr>
        <w:t>role</w:t>
      </w:r>
      <w:r w:rsidRPr="00644F82">
        <w:rPr>
          <w:color w:val="000000" w:themeColor="text1"/>
        </w:rPr>
        <w:t>s</w:t>
      </w:r>
      <w:r w:rsidR="00C3559D" w:rsidRPr="00644F82">
        <w:rPr>
          <w:color w:val="000000" w:themeColor="text1"/>
        </w:rPr>
        <w:t xml:space="preserve"> as wage-earners</w:t>
      </w:r>
      <w:r w:rsidRPr="00644F82">
        <w:rPr>
          <w:color w:val="000000" w:themeColor="text1"/>
        </w:rPr>
        <w:t>. It was not uncommon for a married, single, or young woman to get a blue-collar, domestic, or service job out of economic need</w:t>
      </w:r>
      <w:r w:rsidR="004825B3" w:rsidRPr="00644F82">
        <w:rPr>
          <w:color w:val="000000" w:themeColor="text1"/>
        </w:rPr>
        <w:t>, particularly if they were part of the working</w:t>
      </w:r>
      <w:r w:rsidR="00881A28" w:rsidRPr="00644F82">
        <w:rPr>
          <w:color w:val="000000" w:themeColor="text1"/>
        </w:rPr>
        <w:t>-</w:t>
      </w:r>
      <w:r w:rsidR="004825B3" w:rsidRPr="00644F82">
        <w:rPr>
          <w:color w:val="000000" w:themeColor="text1"/>
        </w:rPr>
        <w:t>class</w:t>
      </w:r>
      <w:r w:rsidRPr="00644F82">
        <w:rPr>
          <w:color w:val="000000" w:themeColor="text1"/>
        </w:rPr>
        <w:t>.</w:t>
      </w:r>
      <w:r w:rsidRPr="00644F82">
        <w:rPr>
          <w:rStyle w:val="FootnoteReference"/>
          <w:color w:val="000000" w:themeColor="text1"/>
        </w:rPr>
        <w:footnoteReference w:id="17"/>
      </w:r>
      <w:r w:rsidRPr="00644F82">
        <w:rPr>
          <w:color w:val="000000" w:themeColor="text1"/>
        </w:rPr>
        <w:t xml:space="preserve"> However, this did not mean that American society accepted working women. In fact, a majority of Americans took issue with wives working</w:t>
      </w:r>
      <w:r w:rsidR="00881A28" w:rsidRPr="00644F82">
        <w:rPr>
          <w:color w:val="000000" w:themeColor="text1"/>
        </w:rPr>
        <w:t xml:space="preserve"> specifically—</w:t>
      </w:r>
      <w:r w:rsidRPr="00644F82">
        <w:rPr>
          <w:color w:val="000000" w:themeColor="text1"/>
        </w:rPr>
        <w:t>especially if their husbands had jobs</w:t>
      </w:r>
      <w:r w:rsidR="00881A28" w:rsidRPr="00644F82">
        <w:rPr>
          <w:color w:val="000000" w:themeColor="text1"/>
        </w:rPr>
        <w:t>—</w:t>
      </w:r>
      <w:r w:rsidRPr="00644F82">
        <w:rPr>
          <w:color w:val="000000" w:themeColor="text1"/>
        </w:rPr>
        <w:t>and even suggested that legislation be passed to prohibit wives from working.</w:t>
      </w:r>
      <w:r w:rsidRPr="00644F82">
        <w:rPr>
          <w:rStyle w:val="FootnoteReference"/>
          <w:color w:val="000000" w:themeColor="text1"/>
        </w:rPr>
        <w:footnoteReference w:id="18"/>
      </w:r>
      <w:r w:rsidRPr="00644F82">
        <w:rPr>
          <w:color w:val="000000" w:themeColor="text1"/>
        </w:rPr>
        <w:t xml:space="preserve"> These negative attitudes toward working women reflected America’s reluctance to change gender roles, even in a time of crisis. </w:t>
      </w:r>
    </w:p>
    <w:p w14:paraId="30457B25" w14:textId="712F3914" w:rsidR="0074766E" w:rsidRPr="00644F82" w:rsidRDefault="0074766E" w:rsidP="00F6138B">
      <w:pPr>
        <w:spacing w:line="480" w:lineRule="auto"/>
        <w:ind w:firstLine="720"/>
        <w:rPr>
          <w:color w:val="000000" w:themeColor="text1"/>
        </w:rPr>
      </w:pPr>
      <w:r w:rsidRPr="00644F82">
        <w:rPr>
          <w:color w:val="000000" w:themeColor="text1"/>
        </w:rPr>
        <w:t>The United States officially entered World War II on December 8, 1941. A</w:t>
      </w:r>
      <w:r w:rsidR="00B34622" w:rsidRPr="00644F82">
        <w:rPr>
          <w:color w:val="000000" w:themeColor="text1"/>
        </w:rPr>
        <w:t>fter a</w:t>
      </w:r>
      <w:r w:rsidRPr="00644F82">
        <w:rPr>
          <w:color w:val="000000" w:themeColor="text1"/>
        </w:rPr>
        <w:t>bandoning its isolationist policy and earlier efforts to maintain neutrality, the country needed to mobilize. America transformed its industrial sector to support the wartime demand.</w:t>
      </w:r>
      <w:r w:rsidR="004C3748" w:rsidRPr="00644F82">
        <w:rPr>
          <w:rStyle w:val="FootnoteReference"/>
          <w:color w:val="000000" w:themeColor="text1"/>
        </w:rPr>
        <w:footnoteReference w:id="19"/>
      </w:r>
      <w:r w:rsidRPr="00644F82">
        <w:rPr>
          <w:color w:val="000000" w:themeColor="text1"/>
        </w:rPr>
        <w:t xml:space="preserve"> </w:t>
      </w:r>
      <w:r w:rsidR="006D4DE8">
        <w:rPr>
          <w:color w:val="000000" w:themeColor="text1"/>
        </w:rPr>
        <w:t>Hence</w:t>
      </w:r>
      <w:r w:rsidRPr="00644F82">
        <w:rPr>
          <w:color w:val="000000" w:themeColor="text1"/>
        </w:rPr>
        <w:t xml:space="preserve">, the demand for workers increased, </w:t>
      </w:r>
      <w:r w:rsidR="004C3748" w:rsidRPr="00644F82">
        <w:rPr>
          <w:color w:val="000000" w:themeColor="text1"/>
        </w:rPr>
        <w:t>leading to</w:t>
      </w:r>
      <w:r w:rsidRPr="00644F82">
        <w:rPr>
          <w:color w:val="000000" w:themeColor="text1"/>
        </w:rPr>
        <w:t xml:space="preserve"> complex jobs </w:t>
      </w:r>
      <w:r w:rsidR="004C3748" w:rsidRPr="00644F82">
        <w:rPr>
          <w:color w:val="000000" w:themeColor="text1"/>
        </w:rPr>
        <w:t>being broken</w:t>
      </w:r>
      <w:r w:rsidRPr="00644F82">
        <w:rPr>
          <w:color w:val="000000" w:themeColor="text1"/>
        </w:rPr>
        <w:t xml:space="preserve"> down into smaller tasks. These smaller, less complex jobs allowed workers to learn </w:t>
      </w:r>
      <w:r w:rsidR="004C3748" w:rsidRPr="00644F82">
        <w:rPr>
          <w:color w:val="000000" w:themeColor="text1"/>
        </w:rPr>
        <w:t>more quickly</w:t>
      </w:r>
      <w:r w:rsidRPr="00644F82">
        <w:rPr>
          <w:color w:val="000000" w:themeColor="text1"/>
        </w:rPr>
        <w:t xml:space="preserve">; however, men were </w:t>
      </w:r>
      <w:r w:rsidRPr="00644F82">
        <w:rPr>
          <w:color w:val="000000" w:themeColor="text1"/>
        </w:rPr>
        <w:lastRenderedPageBreak/>
        <w:t xml:space="preserve">called to serve in the military, forcing employers to </w:t>
      </w:r>
      <w:r w:rsidR="00C3559D" w:rsidRPr="00644F82">
        <w:rPr>
          <w:color w:val="000000" w:themeColor="text1"/>
        </w:rPr>
        <w:t>find new</w:t>
      </w:r>
      <w:r w:rsidRPr="00644F82">
        <w:rPr>
          <w:color w:val="000000" w:themeColor="text1"/>
        </w:rPr>
        <w:t xml:space="preserve"> workers.</w:t>
      </w:r>
      <w:r w:rsidRPr="00644F82">
        <w:rPr>
          <w:rStyle w:val="FootnoteReference"/>
          <w:color w:val="000000" w:themeColor="text1"/>
        </w:rPr>
        <w:t xml:space="preserve"> </w:t>
      </w:r>
      <w:r w:rsidRPr="00644F82">
        <w:rPr>
          <w:rStyle w:val="FootnoteReference"/>
          <w:color w:val="000000" w:themeColor="text1"/>
        </w:rPr>
        <w:footnoteReference w:id="20"/>
      </w:r>
      <w:r w:rsidRPr="00644F82">
        <w:rPr>
          <w:color w:val="000000" w:themeColor="text1"/>
        </w:rPr>
        <w:t xml:space="preserve"> But who could possibly take on these jobs abandoned by men? The answer was simple: women could do it. </w:t>
      </w:r>
    </w:p>
    <w:p w14:paraId="243DBFA7" w14:textId="77777777" w:rsidR="009E2B04" w:rsidRPr="00644F82" w:rsidRDefault="009E2B04" w:rsidP="009E2B04">
      <w:pPr>
        <w:spacing w:line="480" w:lineRule="auto"/>
        <w:rPr>
          <w:b/>
          <w:bCs/>
          <w:color w:val="000000" w:themeColor="text1"/>
        </w:rPr>
      </w:pPr>
      <w:r w:rsidRPr="00644F82">
        <w:rPr>
          <w:b/>
          <w:bCs/>
          <w:color w:val="000000" w:themeColor="text1"/>
        </w:rPr>
        <w:t>Beyond Rosie: Women in US-Sponsored World War II Recruitment Campaigns</w:t>
      </w:r>
    </w:p>
    <w:p w14:paraId="3052F7BF" w14:textId="1251B8DD" w:rsidR="007A2525" w:rsidRPr="00644F82" w:rsidRDefault="000F672F" w:rsidP="00A15528">
      <w:pPr>
        <w:spacing w:line="480" w:lineRule="auto"/>
        <w:ind w:firstLine="720"/>
        <w:rPr>
          <w:color w:val="000000" w:themeColor="text1"/>
        </w:rPr>
      </w:pPr>
      <w:r w:rsidRPr="00644F82">
        <w:rPr>
          <w:color w:val="000000" w:themeColor="text1"/>
        </w:rPr>
        <w:t xml:space="preserve">Before examining </w:t>
      </w:r>
      <w:r w:rsidR="00BD36E8" w:rsidRPr="00644F82">
        <w:rPr>
          <w:color w:val="000000" w:themeColor="text1"/>
        </w:rPr>
        <w:t xml:space="preserve">some </w:t>
      </w:r>
      <w:r w:rsidRPr="00644F82">
        <w:rPr>
          <w:color w:val="000000" w:themeColor="text1"/>
        </w:rPr>
        <w:t>lesser-known war posters, this paper’s analytical framework</w:t>
      </w:r>
      <w:r w:rsidR="007A2525" w:rsidRPr="00644F82">
        <w:rPr>
          <w:color w:val="000000" w:themeColor="text1"/>
        </w:rPr>
        <w:t xml:space="preserve"> can be illustrated through two of the most iconic examples: J.</w:t>
      </w:r>
      <w:r w:rsidRPr="00644F82">
        <w:rPr>
          <w:color w:val="000000" w:themeColor="text1"/>
        </w:rPr>
        <w:t xml:space="preserve"> Howard Miller’s ‘We Can Do It!’ and Norman Rockwell’s ‘Rosie</w:t>
      </w:r>
      <w:r w:rsidR="009B36BE" w:rsidRPr="00644F82">
        <w:rPr>
          <w:color w:val="000000" w:themeColor="text1"/>
        </w:rPr>
        <w:t xml:space="preserve"> the Riveter</w:t>
      </w:r>
      <w:r w:rsidRPr="00644F82">
        <w:rPr>
          <w:color w:val="000000" w:themeColor="text1"/>
        </w:rPr>
        <w:t>.</w:t>
      </w:r>
      <w:r w:rsidR="007A2525" w:rsidRPr="00644F82">
        <w:rPr>
          <w:color w:val="000000" w:themeColor="text1"/>
        </w:rPr>
        <w:t>’</w:t>
      </w:r>
      <w:r w:rsidRPr="00644F82">
        <w:rPr>
          <w:color w:val="000000" w:themeColor="text1"/>
        </w:rPr>
        <w:t xml:space="preserve"> </w:t>
      </w:r>
      <w:r w:rsidR="00A15528" w:rsidRPr="00644F82">
        <w:rPr>
          <w:color w:val="000000" w:themeColor="text1"/>
        </w:rPr>
        <w:t>Applying</w:t>
      </w:r>
      <w:r w:rsidR="00B13203" w:rsidRPr="00644F82">
        <w:rPr>
          <w:color w:val="000000" w:themeColor="text1"/>
        </w:rPr>
        <w:t xml:space="preserve"> </w:t>
      </w:r>
      <w:r w:rsidR="007A2525" w:rsidRPr="00644F82">
        <w:rPr>
          <w:color w:val="000000" w:themeColor="text1"/>
        </w:rPr>
        <w:t xml:space="preserve">social reproduction theory </w:t>
      </w:r>
      <w:r w:rsidR="00B13203" w:rsidRPr="00644F82">
        <w:rPr>
          <w:color w:val="000000" w:themeColor="text1"/>
        </w:rPr>
        <w:t xml:space="preserve">and discussions of visual regimes </w:t>
      </w:r>
      <w:r w:rsidR="007A2525" w:rsidRPr="00644F82">
        <w:rPr>
          <w:color w:val="000000" w:themeColor="text1"/>
        </w:rPr>
        <w:t>to these images reveal</w:t>
      </w:r>
      <w:r w:rsidR="000A213B" w:rsidRPr="00644F82">
        <w:rPr>
          <w:color w:val="000000" w:themeColor="text1"/>
        </w:rPr>
        <w:t xml:space="preserve"> </w:t>
      </w:r>
      <w:r w:rsidR="007A2525" w:rsidRPr="00644F82">
        <w:rPr>
          <w:color w:val="000000" w:themeColor="text1"/>
        </w:rPr>
        <w:t xml:space="preserve">how wartime mobilization efforts aimed at women </w:t>
      </w:r>
      <w:r w:rsidR="00A15528" w:rsidRPr="00644F82">
        <w:rPr>
          <w:color w:val="000000" w:themeColor="text1"/>
        </w:rPr>
        <w:t xml:space="preserve">were not only </w:t>
      </w:r>
      <w:r w:rsidR="007A2525" w:rsidRPr="00644F82">
        <w:rPr>
          <w:color w:val="000000" w:themeColor="text1"/>
        </w:rPr>
        <w:t>structured around maintain</w:t>
      </w:r>
      <w:r w:rsidR="004C3748" w:rsidRPr="00644F82">
        <w:rPr>
          <w:color w:val="000000" w:themeColor="text1"/>
        </w:rPr>
        <w:t>ing</w:t>
      </w:r>
      <w:r w:rsidR="007A2525" w:rsidRPr="00644F82">
        <w:rPr>
          <w:color w:val="000000" w:themeColor="text1"/>
        </w:rPr>
        <w:t xml:space="preserve"> gendered divisions of labor</w:t>
      </w:r>
      <w:r w:rsidR="00A15528" w:rsidRPr="00644F82">
        <w:rPr>
          <w:color w:val="000000" w:themeColor="text1"/>
        </w:rPr>
        <w:t xml:space="preserve"> bu</w:t>
      </w:r>
      <w:r w:rsidR="000A213B" w:rsidRPr="00644F82">
        <w:rPr>
          <w:color w:val="000000" w:themeColor="text1"/>
        </w:rPr>
        <w:t>t</w:t>
      </w:r>
      <w:r w:rsidR="00A15528" w:rsidRPr="00644F82">
        <w:rPr>
          <w:color w:val="000000" w:themeColor="text1"/>
        </w:rPr>
        <w:t xml:space="preserve"> also </w:t>
      </w:r>
      <w:r w:rsidR="007A2525" w:rsidRPr="00644F82">
        <w:rPr>
          <w:color w:val="000000" w:themeColor="text1"/>
        </w:rPr>
        <w:t>present</w:t>
      </w:r>
      <w:r w:rsidR="00A15528" w:rsidRPr="00644F82">
        <w:rPr>
          <w:color w:val="000000" w:themeColor="text1"/>
        </w:rPr>
        <w:t>ed</w:t>
      </w:r>
      <w:r w:rsidR="007A2525" w:rsidRPr="00644F82">
        <w:rPr>
          <w:color w:val="000000" w:themeColor="text1"/>
        </w:rPr>
        <w:t xml:space="preserve"> women’s entry into industrial work as both a patriotic duty and an extension of their domestic responsibilities. </w:t>
      </w:r>
    </w:p>
    <w:p w14:paraId="44C86711" w14:textId="1115496E" w:rsidR="00DC25B2" w:rsidRPr="00644F82" w:rsidRDefault="00B85BCD" w:rsidP="00DC25B2">
      <w:pPr>
        <w:spacing w:line="480" w:lineRule="auto"/>
        <w:ind w:firstLine="720"/>
        <w:rPr>
          <w:color w:val="000000" w:themeColor="text1"/>
        </w:rPr>
      </w:pPr>
      <w:r w:rsidRPr="00644F82">
        <w:rPr>
          <w:color w:val="000000" w:themeColor="text1"/>
        </w:rPr>
        <w:t xml:space="preserve">Social reproduction theory emphasizes that capitalism relies not only on waged labor but also on unwaged, invisible </w:t>
      </w:r>
      <w:r w:rsidR="008C7694" w:rsidRPr="00644F82">
        <w:rPr>
          <w:color w:val="000000" w:themeColor="text1"/>
        </w:rPr>
        <w:t xml:space="preserve">labor </w:t>
      </w:r>
      <w:r w:rsidRPr="00644F82">
        <w:rPr>
          <w:color w:val="000000" w:themeColor="text1"/>
        </w:rPr>
        <w:t>that reproduces the worker. Although social reproduction theory originated in an economic context, it offers a particularly valuable lens for examining</w:t>
      </w:r>
      <w:r w:rsidR="004C3748" w:rsidRPr="00644F82">
        <w:rPr>
          <w:color w:val="000000" w:themeColor="text1"/>
        </w:rPr>
        <w:t xml:space="preserve"> </w:t>
      </w:r>
      <w:r w:rsidRPr="00644F82">
        <w:rPr>
          <w:color w:val="000000" w:themeColor="text1"/>
        </w:rPr>
        <w:t>invisible labor, such as feeding, caring for, and maintaining the social conditions necessary for production to continue.</w:t>
      </w:r>
      <w:r w:rsidRPr="00644F82">
        <w:rPr>
          <w:rStyle w:val="FootnoteReference"/>
          <w:color w:val="000000" w:themeColor="text1"/>
        </w:rPr>
        <w:footnoteReference w:id="21"/>
      </w:r>
      <w:r w:rsidRPr="00644F82">
        <w:rPr>
          <w:color w:val="000000" w:themeColor="text1"/>
        </w:rPr>
        <w:t xml:space="preserve"> As an extension of Marxism</w:t>
      </w:r>
      <w:r w:rsidR="00C048C8" w:rsidRPr="00644F82">
        <w:rPr>
          <w:color w:val="000000" w:themeColor="text1"/>
        </w:rPr>
        <w:t xml:space="preserve">—and </w:t>
      </w:r>
      <w:r w:rsidRPr="00644F82">
        <w:rPr>
          <w:color w:val="000000" w:themeColor="text1"/>
        </w:rPr>
        <w:t>more specifically</w:t>
      </w:r>
      <w:r w:rsidR="004C3748" w:rsidRPr="00644F82">
        <w:rPr>
          <w:color w:val="000000" w:themeColor="text1"/>
        </w:rPr>
        <w:t>,</w:t>
      </w:r>
      <w:r w:rsidRPr="00644F82">
        <w:rPr>
          <w:color w:val="000000" w:themeColor="text1"/>
        </w:rPr>
        <w:t xml:space="preserve"> Marxist feminism</w:t>
      </w:r>
      <w:r w:rsidR="00C048C8" w:rsidRPr="00644F82">
        <w:rPr>
          <w:color w:val="000000" w:themeColor="text1"/>
        </w:rPr>
        <w:t>—</w:t>
      </w:r>
      <w:r w:rsidRPr="00644F82">
        <w:rPr>
          <w:color w:val="000000" w:themeColor="text1"/>
        </w:rPr>
        <w:t xml:space="preserve">social reproduction theory </w:t>
      </w:r>
      <w:r w:rsidR="004C3748" w:rsidRPr="00644F82">
        <w:rPr>
          <w:color w:val="000000" w:themeColor="text1"/>
        </w:rPr>
        <w:t>holds</w:t>
      </w:r>
      <w:r w:rsidRPr="00644F82">
        <w:rPr>
          <w:color w:val="000000" w:themeColor="text1"/>
        </w:rPr>
        <w:t xml:space="preserve"> that human labor is fundamental to the creation and reproduction of society. However, it argues that only market labor is traditionally recognized as “legitimate ‘work,’” thereby overlooking the essential labor involved in maintaining the market through ongoing production and maintenance of human life.</w:t>
      </w:r>
      <w:r w:rsidRPr="00644F82">
        <w:rPr>
          <w:rStyle w:val="FootnoteReference"/>
          <w:color w:val="000000" w:themeColor="text1"/>
        </w:rPr>
        <w:footnoteReference w:id="22"/>
      </w:r>
      <w:r w:rsidRPr="00644F82">
        <w:rPr>
          <w:color w:val="000000" w:themeColor="text1"/>
        </w:rPr>
        <w:t xml:space="preserve"> Without this ongoing production of humans</w:t>
      </w:r>
      <w:r w:rsidR="00430B64" w:rsidRPr="00644F82">
        <w:rPr>
          <w:color w:val="000000" w:themeColor="text1"/>
        </w:rPr>
        <w:t xml:space="preserve"> and the care for families in the domestic sphere through acts like cooking and cleaning</w:t>
      </w:r>
      <w:r w:rsidRPr="00644F82">
        <w:rPr>
          <w:color w:val="000000" w:themeColor="text1"/>
        </w:rPr>
        <w:t xml:space="preserve">, </w:t>
      </w:r>
      <w:r w:rsidRPr="00644F82">
        <w:rPr>
          <w:color w:val="000000" w:themeColor="text1"/>
        </w:rPr>
        <w:lastRenderedPageBreak/>
        <w:t>the production of goods would not be possible, underscoring the central role women play in supporting a capitalist society.</w:t>
      </w:r>
      <w:r w:rsidR="00D77131" w:rsidRPr="00644F82">
        <w:rPr>
          <w:rStyle w:val="FootnoteReference"/>
          <w:color w:val="000000" w:themeColor="text1"/>
        </w:rPr>
        <w:footnoteReference w:id="23"/>
      </w:r>
      <w:r w:rsidRPr="00644F82">
        <w:rPr>
          <w:color w:val="000000" w:themeColor="text1"/>
        </w:rPr>
        <w:t xml:space="preserve"> </w:t>
      </w:r>
    </w:p>
    <w:p w14:paraId="6F413754" w14:textId="4763EB35" w:rsidR="00DC25B2" w:rsidRPr="00644F82" w:rsidRDefault="00B85BCD" w:rsidP="00DC25B2">
      <w:pPr>
        <w:spacing w:line="480" w:lineRule="auto"/>
        <w:ind w:firstLine="720"/>
        <w:rPr>
          <w:color w:val="000000" w:themeColor="text1"/>
        </w:rPr>
      </w:pPr>
      <w:r w:rsidRPr="00644F82">
        <w:rPr>
          <w:color w:val="000000" w:themeColor="text1"/>
        </w:rPr>
        <w:t xml:space="preserve">In this light, </w:t>
      </w:r>
      <w:r w:rsidR="00DC25B2" w:rsidRPr="00644F82">
        <w:rPr>
          <w:color w:val="000000" w:themeColor="text1"/>
        </w:rPr>
        <w:t>Miller’s ‘We Can Do It!</w:t>
      </w:r>
      <w:r w:rsidR="00C313CB" w:rsidRPr="00644F82">
        <w:rPr>
          <w:color w:val="000000" w:themeColor="text1"/>
        </w:rPr>
        <w:t>’ (see figure 1),</w:t>
      </w:r>
      <w:r w:rsidR="00DC25B2" w:rsidRPr="00644F82">
        <w:rPr>
          <w:color w:val="000000" w:themeColor="text1"/>
        </w:rPr>
        <w:t xml:space="preserve"> for example, </w:t>
      </w:r>
      <w:r w:rsidRPr="00644F82">
        <w:rPr>
          <w:color w:val="000000" w:themeColor="text1"/>
        </w:rPr>
        <w:t xml:space="preserve">can be seen as both celebrating and containing women’s labor. It publicly recognizes women as </w:t>
      </w:r>
      <w:r w:rsidR="000A213B" w:rsidRPr="00644F82">
        <w:rPr>
          <w:color w:val="000000" w:themeColor="text1"/>
        </w:rPr>
        <w:t xml:space="preserve">wage-earning </w:t>
      </w:r>
      <w:r w:rsidRPr="00644F82">
        <w:rPr>
          <w:color w:val="000000" w:themeColor="text1"/>
        </w:rPr>
        <w:t>workers, but only to the extent that their work sustains the system of production that capitalism depends on</w:t>
      </w:r>
      <w:r w:rsidR="008C7694" w:rsidRPr="00644F82">
        <w:rPr>
          <w:color w:val="000000" w:themeColor="text1"/>
        </w:rPr>
        <w:t xml:space="preserve">. Moreover, the framework of social reproduction theory </w:t>
      </w:r>
      <w:r w:rsidR="00BC5E3B" w:rsidRPr="00644F82">
        <w:rPr>
          <w:color w:val="000000" w:themeColor="text1"/>
        </w:rPr>
        <w:t>highlights</w:t>
      </w:r>
      <w:r w:rsidR="008C7694" w:rsidRPr="00644F82">
        <w:rPr>
          <w:color w:val="000000" w:themeColor="text1"/>
        </w:rPr>
        <w:t xml:space="preserve"> that women’s domestic work </w:t>
      </w:r>
      <w:r w:rsidR="00C04C8C" w:rsidRPr="00644F82">
        <w:rPr>
          <w:color w:val="000000" w:themeColor="text1"/>
        </w:rPr>
        <w:t>has</w:t>
      </w:r>
      <w:r w:rsidR="008C7694" w:rsidRPr="00644F82">
        <w:rPr>
          <w:color w:val="000000" w:themeColor="text1"/>
        </w:rPr>
        <w:t xml:space="preserve"> been essential to the reproduction of labor power, </w:t>
      </w:r>
      <w:r w:rsidR="00BC5E3B" w:rsidRPr="00644F82">
        <w:rPr>
          <w:color w:val="000000" w:themeColor="text1"/>
        </w:rPr>
        <w:t xml:space="preserve">yet Miller’s poster portrays women as </w:t>
      </w:r>
      <w:r w:rsidR="008C7694" w:rsidRPr="00644F82">
        <w:rPr>
          <w:color w:val="000000" w:themeColor="text1"/>
        </w:rPr>
        <w:t xml:space="preserve">‘finally’ </w:t>
      </w:r>
      <w:r w:rsidR="00BC5E3B" w:rsidRPr="00644F82">
        <w:rPr>
          <w:color w:val="000000" w:themeColor="text1"/>
        </w:rPr>
        <w:t xml:space="preserve">contributing to </w:t>
      </w:r>
      <w:r w:rsidR="00C9355D" w:rsidRPr="00644F82">
        <w:rPr>
          <w:color w:val="000000" w:themeColor="text1"/>
        </w:rPr>
        <w:t xml:space="preserve">the </w:t>
      </w:r>
      <w:r w:rsidR="00BC5E3B" w:rsidRPr="00644F82">
        <w:rPr>
          <w:color w:val="000000" w:themeColor="text1"/>
        </w:rPr>
        <w:t xml:space="preserve">economy by </w:t>
      </w:r>
      <w:r w:rsidR="00C9355D" w:rsidRPr="00644F82">
        <w:rPr>
          <w:color w:val="000000" w:themeColor="text1"/>
        </w:rPr>
        <w:t>motivating women to</w:t>
      </w:r>
      <w:r w:rsidR="00BC5E3B" w:rsidRPr="00644F82">
        <w:rPr>
          <w:color w:val="000000" w:themeColor="text1"/>
        </w:rPr>
        <w:t xml:space="preserve"> </w:t>
      </w:r>
      <w:r w:rsidR="00C9355D" w:rsidRPr="00644F82">
        <w:rPr>
          <w:color w:val="000000" w:themeColor="text1"/>
        </w:rPr>
        <w:t xml:space="preserve">get </w:t>
      </w:r>
      <w:r w:rsidR="00C04C8C" w:rsidRPr="00644F82">
        <w:rPr>
          <w:color w:val="000000" w:themeColor="text1"/>
        </w:rPr>
        <w:t>wartime jobs, effectively participating in visible labor.</w:t>
      </w:r>
      <w:r w:rsidR="00C9355D" w:rsidRPr="00644F82">
        <w:rPr>
          <w:color w:val="000000" w:themeColor="text1"/>
        </w:rPr>
        <w:t xml:space="preserve"> </w:t>
      </w:r>
      <w:r w:rsidR="00DC25B2" w:rsidRPr="00644F82">
        <w:rPr>
          <w:color w:val="000000" w:themeColor="text1"/>
        </w:rPr>
        <w:t>The poster’s call for women to join the wage-earning workforce suggests that laboring is a new endeavor for them, a notion that erases the essential, ongoing work women have always performed as wives, mothers, and caregivers. Thus, even as the poster seems to introduce a new kind of gender role, one where a woman is strong rather than subservient, Miller’s poster can be understood as a visual representation of how women’s unpaid domestic work is undervalued and unacknowledged.</w:t>
      </w:r>
    </w:p>
    <w:p w14:paraId="5CA235E4" w14:textId="69D4DAE1" w:rsidR="00D77131" w:rsidRPr="00644F82" w:rsidRDefault="00C26E90" w:rsidP="00F6138B">
      <w:pPr>
        <w:spacing w:line="480" w:lineRule="auto"/>
        <w:ind w:firstLine="720"/>
        <w:rPr>
          <w:color w:val="000000" w:themeColor="text1"/>
        </w:rPr>
      </w:pPr>
      <w:r w:rsidRPr="00644F82">
        <w:rPr>
          <w:color w:val="000000" w:themeColor="text1"/>
        </w:rPr>
        <w:t xml:space="preserve">Furthermore, this paper also relies on the presence of visual regimes as part of its analytical framework. </w:t>
      </w:r>
      <w:r w:rsidR="000A213B" w:rsidRPr="00644F82">
        <w:rPr>
          <w:color w:val="000000" w:themeColor="text1"/>
        </w:rPr>
        <w:t>In</w:t>
      </w:r>
      <w:r w:rsidR="00651D90" w:rsidRPr="00644F82">
        <w:rPr>
          <w:color w:val="000000" w:themeColor="text1"/>
        </w:rPr>
        <w:t xml:space="preserve"> John Berger’s </w:t>
      </w:r>
      <w:r w:rsidR="00651D90" w:rsidRPr="00644F82">
        <w:rPr>
          <w:i/>
          <w:iCs/>
          <w:color w:val="000000" w:themeColor="text1"/>
        </w:rPr>
        <w:t xml:space="preserve">Ways of Seeing, </w:t>
      </w:r>
      <w:r w:rsidR="000A213B" w:rsidRPr="00644F82">
        <w:rPr>
          <w:color w:val="000000" w:themeColor="text1"/>
        </w:rPr>
        <w:t>he</w:t>
      </w:r>
      <w:r w:rsidR="009E2B04" w:rsidRPr="00644F82">
        <w:rPr>
          <w:color w:val="000000" w:themeColor="text1"/>
        </w:rPr>
        <w:t xml:space="preserve"> argues that</w:t>
      </w:r>
      <w:r w:rsidR="00DC25B2" w:rsidRPr="00644F82">
        <w:rPr>
          <w:color w:val="000000" w:themeColor="text1"/>
        </w:rPr>
        <w:t xml:space="preserve"> visual perception is not neutral but rather influenced by </w:t>
      </w:r>
      <w:r w:rsidR="00DF2FAE" w:rsidRPr="00644F82">
        <w:rPr>
          <w:color w:val="000000" w:themeColor="text1"/>
        </w:rPr>
        <w:t>a multitude of factors</w:t>
      </w:r>
      <w:r w:rsidR="000A213B" w:rsidRPr="00644F82">
        <w:rPr>
          <w:color w:val="000000" w:themeColor="text1"/>
        </w:rPr>
        <w:t>—</w:t>
      </w:r>
      <w:r w:rsidR="00DF2FAE" w:rsidRPr="00644F82">
        <w:rPr>
          <w:color w:val="000000" w:themeColor="text1"/>
        </w:rPr>
        <w:t>including class, gender, culture, and histor</w:t>
      </w:r>
      <w:r w:rsidR="000A213B" w:rsidRPr="00644F82">
        <w:rPr>
          <w:color w:val="000000" w:themeColor="text1"/>
        </w:rPr>
        <w:t xml:space="preserve">y—and </w:t>
      </w:r>
      <w:r w:rsidR="009E2B04" w:rsidRPr="00644F82">
        <w:rPr>
          <w:color w:val="000000" w:themeColor="text1"/>
        </w:rPr>
        <w:t>we can see how</w:t>
      </w:r>
      <w:r w:rsidR="009E2B04" w:rsidRPr="00644F82">
        <w:rPr>
          <w:i/>
          <w:iCs/>
          <w:color w:val="000000" w:themeColor="text1"/>
        </w:rPr>
        <w:t xml:space="preserve"> </w:t>
      </w:r>
      <w:r w:rsidR="00651D90" w:rsidRPr="00644F82">
        <w:rPr>
          <w:color w:val="000000" w:themeColor="text1"/>
        </w:rPr>
        <w:t>Norman Rockwell’s ‘Rosie</w:t>
      </w:r>
      <w:r w:rsidR="009B36BE" w:rsidRPr="00644F82">
        <w:rPr>
          <w:color w:val="000000" w:themeColor="text1"/>
        </w:rPr>
        <w:t xml:space="preserve"> the Riveter</w:t>
      </w:r>
      <w:r w:rsidR="00651D90" w:rsidRPr="00644F82">
        <w:rPr>
          <w:color w:val="000000" w:themeColor="text1"/>
        </w:rPr>
        <w:t>’ embodies a learned set of assumptions about gender</w:t>
      </w:r>
      <w:r w:rsidR="00C313CB" w:rsidRPr="00644F82">
        <w:rPr>
          <w:color w:val="000000" w:themeColor="text1"/>
        </w:rPr>
        <w:t xml:space="preserve"> (see figure 2)</w:t>
      </w:r>
      <w:r w:rsidR="00651D90" w:rsidRPr="00644F82">
        <w:rPr>
          <w:color w:val="000000" w:themeColor="text1"/>
        </w:rPr>
        <w:t>.</w:t>
      </w:r>
      <w:r w:rsidR="00651D90" w:rsidRPr="00644F82">
        <w:rPr>
          <w:rStyle w:val="FootnoteReference"/>
          <w:color w:val="000000" w:themeColor="text1"/>
        </w:rPr>
        <w:footnoteReference w:id="24"/>
      </w:r>
      <w:r w:rsidR="009B36BE" w:rsidRPr="00644F82">
        <w:rPr>
          <w:noProof/>
          <w:color w:val="000000" w:themeColor="text1"/>
        </w:rPr>
        <w:t xml:space="preserve"> </w:t>
      </w:r>
      <w:r w:rsidR="009B36BE" w:rsidRPr="00644F82">
        <w:rPr>
          <w:color w:val="000000" w:themeColor="text1"/>
        </w:rPr>
        <w:t>On the one hand, ‘Rosie the Riveter’ visually disrupts traditional expectations by placing a woman in a position of strength and action—muscular, self-assured, and fully engaged in industrial labor typically coded as masculine according to Berger.</w:t>
      </w:r>
      <w:r w:rsidR="009B36BE" w:rsidRPr="00644F82">
        <w:rPr>
          <w:rStyle w:val="FootnoteReference"/>
          <w:color w:val="000000" w:themeColor="text1"/>
        </w:rPr>
        <w:footnoteReference w:id="25"/>
      </w:r>
      <w:r w:rsidR="009B36BE" w:rsidRPr="00644F82">
        <w:rPr>
          <w:color w:val="000000" w:themeColor="text1"/>
        </w:rPr>
        <w:t xml:space="preserve"> </w:t>
      </w:r>
      <w:r w:rsidR="006455C4" w:rsidRPr="00644F82">
        <w:rPr>
          <w:color w:val="000000" w:themeColor="text1"/>
        </w:rPr>
        <w:lastRenderedPageBreak/>
        <w:t xml:space="preserve">Her pose, with a riveting gun resting on her lap and foot pressing down on a copy of </w:t>
      </w:r>
      <w:r w:rsidR="006455C4" w:rsidRPr="00644F82">
        <w:rPr>
          <w:i/>
          <w:iCs/>
          <w:color w:val="000000" w:themeColor="text1"/>
        </w:rPr>
        <w:t>Mein Kampf</w:t>
      </w:r>
      <w:r w:rsidR="006455C4" w:rsidRPr="00644F82">
        <w:rPr>
          <w:color w:val="000000" w:themeColor="text1"/>
        </w:rPr>
        <w:t>, effectively redefines the portrayal of women by illustrating their power and patriotism rather than their beauty</w:t>
      </w:r>
      <w:r w:rsidR="009E2B04" w:rsidRPr="00644F82">
        <w:rPr>
          <w:color w:val="000000" w:themeColor="text1"/>
        </w:rPr>
        <w:t xml:space="preserve"> and contribution to the war effort through industrial labor</w:t>
      </w:r>
      <w:r w:rsidR="006455C4" w:rsidRPr="00644F82">
        <w:rPr>
          <w:color w:val="000000" w:themeColor="text1"/>
        </w:rPr>
        <w:t>. In this way, Rockwell’s poster appears to advance the idea of female empowerment by directly challenging traditional views of domesticity and femininity through Rosie’s rather masculine presence</w:t>
      </w:r>
      <w:r w:rsidR="00A15528" w:rsidRPr="00644F82">
        <w:rPr>
          <w:color w:val="000000" w:themeColor="text1"/>
        </w:rPr>
        <w:t>,</w:t>
      </w:r>
      <w:r w:rsidR="008C0B73" w:rsidRPr="00644F82">
        <w:rPr>
          <w:color w:val="000000" w:themeColor="text1"/>
        </w:rPr>
        <w:t xml:space="preserve"> as she appears </w:t>
      </w:r>
      <w:r w:rsidR="00B34622" w:rsidRPr="00644F82">
        <w:rPr>
          <w:color w:val="000000" w:themeColor="text1"/>
        </w:rPr>
        <w:t xml:space="preserve">covered in </w:t>
      </w:r>
      <w:r w:rsidR="008C0B73" w:rsidRPr="00644F82">
        <w:rPr>
          <w:color w:val="000000" w:themeColor="text1"/>
        </w:rPr>
        <w:t>dirt</w:t>
      </w:r>
      <w:r w:rsidR="00B34622" w:rsidRPr="00644F82">
        <w:rPr>
          <w:color w:val="000000" w:themeColor="text1"/>
        </w:rPr>
        <w:t xml:space="preserve"> </w:t>
      </w:r>
      <w:r w:rsidR="008C0B73" w:rsidRPr="00644F82">
        <w:rPr>
          <w:color w:val="000000" w:themeColor="text1"/>
        </w:rPr>
        <w:t>and more muscular</w:t>
      </w:r>
      <w:r w:rsidR="006455C4" w:rsidRPr="00644F82">
        <w:rPr>
          <w:color w:val="000000" w:themeColor="text1"/>
        </w:rPr>
        <w:t xml:space="preserve">. </w:t>
      </w:r>
    </w:p>
    <w:p w14:paraId="01C0E352" w14:textId="1A09FF67" w:rsidR="006455C4" w:rsidRPr="00644F82" w:rsidRDefault="006455C4" w:rsidP="00F6138B">
      <w:pPr>
        <w:spacing w:line="480" w:lineRule="auto"/>
        <w:ind w:firstLine="720"/>
        <w:rPr>
          <w:color w:val="000000" w:themeColor="text1"/>
        </w:rPr>
      </w:pPr>
      <w:r w:rsidRPr="00644F82">
        <w:rPr>
          <w:color w:val="000000" w:themeColor="text1"/>
        </w:rPr>
        <w:t xml:space="preserve">On the other hand, Rockwell’s poster simultaneously reinforces the very gendered visual regimes it seems to challenge. Her femininity remains unmistakably emphasized through her red lipstick, blushed cheeks, </w:t>
      </w:r>
      <w:r w:rsidR="00DF2FAE" w:rsidRPr="00644F82">
        <w:rPr>
          <w:color w:val="000000" w:themeColor="text1"/>
        </w:rPr>
        <w:t xml:space="preserve">and </w:t>
      </w:r>
      <w:r w:rsidR="006A6678" w:rsidRPr="00644F82">
        <w:rPr>
          <w:color w:val="000000" w:themeColor="text1"/>
        </w:rPr>
        <w:t>pocket mirror poking out of her fitted jumpsuit</w:t>
      </w:r>
      <w:r w:rsidRPr="00644F82">
        <w:rPr>
          <w:color w:val="000000" w:themeColor="text1"/>
        </w:rPr>
        <w:t xml:space="preserve">, embodying </w:t>
      </w:r>
      <w:r w:rsidR="00A15528" w:rsidRPr="00644F82">
        <w:rPr>
          <w:color w:val="000000" w:themeColor="text1"/>
        </w:rPr>
        <w:t xml:space="preserve">some of </w:t>
      </w:r>
      <w:r w:rsidRPr="00644F82">
        <w:rPr>
          <w:color w:val="000000" w:themeColor="text1"/>
        </w:rPr>
        <w:t>the conventional beauty standards.</w:t>
      </w:r>
      <w:r w:rsidR="00CD5580" w:rsidRPr="00644F82">
        <w:rPr>
          <w:rStyle w:val="FootnoteReference"/>
          <w:color w:val="000000" w:themeColor="text1"/>
        </w:rPr>
        <w:footnoteReference w:id="26"/>
      </w:r>
      <w:r w:rsidRPr="00644F82">
        <w:rPr>
          <w:color w:val="000000" w:themeColor="text1"/>
        </w:rPr>
        <w:t xml:space="preserve"> Importantly, this emphasis on Rosie’s beauty </w:t>
      </w:r>
      <w:r w:rsidR="00EE6414" w:rsidRPr="00644F82">
        <w:rPr>
          <w:color w:val="000000" w:themeColor="text1"/>
        </w:rPr>
        <w:t>exemplifies the presence of the male gaze</w:t>
      </w:r>
      <w:r w:rsidR="004C3748" w:rsidRPr="00644F82">
        <w:rPr>
          <w:color w:val="000000" w:themeColor="text1"/>
        </w:rPr>
        <w:t>,</w:t>
      </w:r>
      <w:r w:rsidR="00EE6414" w:rsidRPr="00644F82">
        <w:rPr>
          <w:color w:val="000000" w:themeColor="text1"/>
        </w:rPr>
        <w:t xml:space="preserve"> or</w:t>
      </w:r>
      <w:r w:rsidR="004C3748" w:rsidRPr="00644F82">
        <w:rPr>
          <w:color w:val="000000" w:themeColor="text1"/>
        </w:rPr>
        <w:t>,</w:t>
      </w:r>
      <w:r w:rsidR="00EE6414" w:rsidRPr="00644F82">
        <w:rPr>
          <w:color w:val="000000" w:themeColor="text1"/>
        </w:rPr>
        <w:t xml:space="preserve"> as</w:t>
      </w:r>
      <w:r w:rsidRPr="00644F82">
        <w:rPr>
          <w:color w:val="000000" w:themeColor="text1"/>
        </w:rPr>
        <w:t xml:space="preserve"> Berger claim</w:t>
      </w:r>
      <w:r w:rsidR="004C3748" w:rsidRPr="00644F82">
        <w:rPr>
          <w:color w:val="000000" w:themeColor="text1"/>
        </w:rPr>
        <w:t>s,</w:t>
      </w:r>
      <w:r w:rsidRPr="00644F82">
        <w:rPr>
          <w:color w:val="000000" w:themeColor="text1"/>
        </w:rPr>
        <w:t xml:space="preserve"> </w:t>
      </w:r>
      <w:r w:rsidR="00EE6414" w:rsidRPr="00644F82">
        <w:rPr>
          <w:color w:val="000000" w:themeColor="text1"/>
        </w:rPr>
        <w:t>the way</w:t>
      </w:r>
      <w:r w:rsidRPr="00644F82">
        <w:rPr>
          <w:color w:val="000000" w:themeColor="text1"/>
        </w:rPr>
        <w:t xml:space="preserve"> “men look</w:t>
      </w:r>
      <w:r w:rsidR="00EE6414" w:rsidRPr="00644F82">
        <w:rPr>
          <w:color w:val="000000" w:themeColor="text1"/>
        </w:rPr>
        <w:t xml:space="preserve"> at women.”</w:t>
      </w:r>
      <w:r w:rsidR="00EE6414" w:rsidRPr="00644F82">
        <w:rPr>
          <w:rStyle w:val="FootnoteReference"/>
          <w:color w:val="000000" w:themeColor="text1"/>
        </w:rPr>
        <w:footnoteReference w:id="27"/>
      </w:r>
      <w:r w:rsidR="00EE6414" w:rsidRPr="00644F82">
        <w:rPr>
          <w:color w:val="000000" w:themeColor="text1"/>
        </w:rPr>
        <w:t xml:space="preserve"> This fusion of strength and femininity reflects the balancing act at the heart of these mobilization efforts: women were encouraged to enter the workforce, but only temporarily and only to the extent that femininity is preserved. </w:t>
      </w:r>
      <w:r w:rsidR="008C0B73" w:rsidRPr="00644F82">
        <w:rPr>
          <w:color w:val="000000" w:themeColor="text1"/>
        </w:rPr>
        <w:t xml:space="preserve">Moreover, Rockwell’s poster comments on women’s participation in the wartime wage earning workforce by casting the American flag as the backdrop. Through this use of a visual regime, Rockwell’s poster links women’s participation with patriotism, effectively demonstrating how this </w:t>
      </w:r>
      <w:r w:rsidR="001F5688" w:rsidRPr="00644F82">
        <w:rPr>
          <w:color w:val="000000" w:themeColor="text1"/>
        </w:rPr>
        <w:t>depiction</w:t>
      </w:r>
      <w:r w:rsidR="008C0B73" w:rsidRPr="00644F82">
        <w:rPr>
          <w:color w:val="000000" w:themeColor="text1"/>
        </w:rPr>
        <w:t xml:space="preserve"> was an extension of women’s patriotic duty. </w:t>
      </w:r>
      <w:r w:rsidR="00EE6414" w:rsidRPr="00644F82">
        <w:rPr>
          <w:color w:val="000000" w:themeColor="text1"/>
        </w:rPr>
        <w:t xml:space="preserve">Therefore, </w:t>
      </w:r>
      <w:r w:rsidR="000865CC" w:rsidRPr="00644F82">
        <w:rPr>
          <w:color w:val="000000" w:themeColor="text1"/>
        </w:rPr>
        <w:t xml:space="preserve">Rockwell’s </w:t>
      </w:r>
      <w:r w:rsidR="00EE6414" w:rsidRPr="00644F82">
        <w:rPr>
          <w:color w:val="000000" w:themeColor="text1"/>
        </w:rPr>
        <w:t>image mirrors the contradiction present in World War II recruitment campaigns aimed at women</w:t>
      </w:r>
      <w:r w:rsidR="004C3748" w:rsidRPr="00644F82">
        <w:rPr>
          <w:color w:val="000000" w:themeColor="text1"/>
        </w:rPr>
        <w:t>, which</w:t>
      </w:r>
      <w:r w:rsidR="00EE6414" w:rsidRPr="00644F82">
        <w:rPr>
          <w:color w:val="000000" w:themeColor="text1"/>
        </w:rPr>
        <w:t xml:space="preserve"> did not genuinely promote female empowerment </w:t>
      </w:r>
      <w:r w:rsidR="009E2B04" w:rsidRPr="00644F82">
        <w:rPr>
          <w:color w:val="000000" w:themeColor="text1"/>
        </w:rPr>
        <w:t>by expanding women’s gender role as wage earners</w:t>
      </w:r>
      <w:r w:rsidR="00C3674F" w:rsidRPr="00644F82">
        <w:rPr>
          <w:color w:val="000000" w:themeColor="text1"/>
        </w:rPr>
        <w:t xml:space="preserve">, </w:t>
      </w:r>
      <w:r w:rsidR="00EE6414" w:rsidRPr="00644F82">
        <w:rPr>
          <w:color w:val="000000" w:themeColor="text1"/>
        </w:rPr>
        <w:t xml:space="preserve">but rather framed female mobilization </w:t>
      </w:r>
      <w:r w:rsidR="004C3748" w:rsidRPr="00644F82">
        <w:rPr>
          <w:color w:val="000000" w:themeColor="text1"/>
        </w:rPr>
        <w:t>to encourage workforce</w:t>
      </w:r>
      <w:r w:rsidR="00EE6414" w:rsidRPr="00644F82">
        <w:rPr>
          <w:color w:val="000000" w:themeColor="text1"/>
        </w:rPr>
        <w:t xml:space="preserve"> </w:t>
      </w:r>
      <w:r w:rsidR="004C3748" w:rsidRPr="00644F82">
        <w:rPr>
          <w:color w:val="000000" w:themeColor="text1"/>
        </w:rPr>
        <w:t>participation</w:t>
      </w:r>
      <w:r w:rsidR="00EE6414" w:rsidRPr="00644F82">
        <w:rPr>
          <w:color w:val="000000" w:themeColor="text1"/>
        </w:rPr>
        <w:t xml:space="preserve"> without threatening </w:t>
      </w:r>
      <w:r w:rsidR="008C0B73" w:rsidRPr="00644F82">
        <w:rPr>
          <w:color w:val="000000" w:themeColor="text1"/>
        </w:rPr>
        <w:t>views of domesticity and femininity</w:t>
      </w:r>
      <w:r w:rsidR="00EE6414" w:rsidRPr="00644F82">
        <w:rPr>
          <w:color w:val="000000" w:themeColor="text1"/>
        </w:rPr>
        <w:t xml:space="preserve">. </w:t>
      </w:r>
    </w:p>
    <w:p w14:paraId="014D708F" w14:textId="0CF10212" w:rsidR="009B36BE" w:rsidRPr="00644F82" w:rsidRDefault="00BA3D28" w:rsidP="00F6138B">
      <w:pPr>
        <w:spacing w:line="480" w:lineRule="auto"/>
        <w:ind w:firstLine="720"/>
        <w:rPr>
          <w:color w:val="000000" w:themeColor="text1"/>
        </w:rPr>
      </w:pPr>
      <w:r w:rsidRPr="00644F82">
        <w:rPr>
          <w:color w:val="000000" w:themeColor="text1"/>
        </w:rPr>
        <w:lastRenderedPageBreak/>
        <w:t xml:space="preserve">By integrating social reproduction theory with an analysis of the visual regimes embedded in US wartime recruitment posters, this paper argues that these images constructed a carefully managed vision of women’s empowerment: one that celebrated women’s entry into industrial labor while simultaneously containing it within longstanding gender norms. Through this framework, the paper reveals </w:t>
      </w:r>
      <w:r w:rsidR="00D245B4" w:rsidRPr="00644F82">
        <w:rPr>
          <w:color w:val="000000" w:themeColor="text1"/>
        </w:rPr>
        <w:t xml:space="preserve">how posters such as Miller’s ‘We Can Do It!’ and Rockwell’s ‘Rosie the Riveter’ mobilized women for the war effort by presenting their labor as both patriotic and extensions of their domestic responsibilities. In doing so, these campaigns promoted a form of empowerment that appeared </w:t>
      </w:r>
      <w:r w:rsidR="003D49EF" w:rsidRPr="00644F82">
        <w:rPr>
          <w:color w:val="000000" w:themeColor="text1"/>
        </w:rPr>
        <w:t>rather new and uplifting</w:t>
      </w:r>
      <w:r w:rsidR="00D245B4" w:rsidRPr="00644F82">
        <w:rPr>
          <w:color w:val="000000" w:themeColor="text1"/>
        </w:rPr>
        <w:t xml:space="preserve"> on the surface but ultimately reaffirmed preexisting ideals of femininity and domesticity, ensuring that women’s expanded roles in the workforce did not disrupt the traditional gender hierarchy. </w:t>
      </w:r>
    </w:p>
    <w:p w14:paraId="23E5EF17" w14:textId="2469B7E7" w:rsidR="006730F6" w:rsidRPr="00644F82" w:rsidRDefault="004C3748" w:rsidP="00F6138B">
      <w:pPr>
        <w:spacing w:line="480" w:lineRule="auto"/>
        <w:ind w:firstLine="720"/>
        <w:rPr>
          <w:color w:val="000000" w:themeColor="text1"/>
        </w:rPr>
      </w:pPr>
      <w:r w:rsidRPr="00644F82">
        <w:rPr>
          <w:color w:val="000000" w:themeColor="text1"/>
        </w:rPr>
        <w:t>In response to the labor shortage caused by the war, the War Manpower Commission and the Office of War Information coordinated efforts to recruit female workers</w:t>
      </w:r>
      <w:r w:rsidR="003A2DA3" w:rsidRPr="00644F82">
        <w:rPr>
          <w:color w:val="000000" w:themeColor="text1"/>
        </w:rPr>
        <w:t>.</w:t>
      </w:r>
      <w:r w:rsidR="000F672F" w:rsidRPr="00644F82">
        <w:rPr>
          <w:rStyle w:val="FootnoteReference"/>
          <w:color w:val="000000" w:themeColor="text1"/>
        </w:rPr>
        <w:footnoteReference w:id="28"/>
      </w:r>
      <w:r w:rsidR="00233673" w:rsidRPr="00644F82">
        <w:rPr>
          <w:color w:val="000000" w:themeColor="text1"/>
        </w:rPr>
        <w:t xml:space="preserve"> </w:t>
      </w:r>
      <w:r w:rsidRPr="00644F82">
        <w:rPr>
          <w:color w:val="000000" w:themeColor="text1"/>
        </w:rPr>
        <w:t>By this time, propaganda was seen as a tool that could effectively shape behavior, so these agencies crea</w:t>
      </w:r>
      <w:r w:rsidR="005A7373">
        <w:rPr>
          <w:color w:val="000000" w:themeColor="text1"/>
        </w:rPr>
        <w:t xml:space="preserve">ted </w:t>
      </w:r>
      <w:r w:rsidRPr="00644F82">
        <w:rPr>
          <w:color w:val="000000" w:themeColor="text1"/>
        </w:rPr>
        <w:t>campaigns that aimed to grab Americans’ attention</w:t>
      </w:r>
      <w:r w:rsidR="006B123B" w:rsidRPr="00644F82">
        <w:rPr>
          <w:color w:val="000000" w:themeColor="text1"/>
        </w:rPr>
        <w:t>.</w:t>
      </w:r>
      <w:r w:rsidR="006B123B" w:rsidRPr="00644F82">
        <w:rPr>
          <w:rStyle w:val="FootnoteReference"/>
          <w:color w:val="000000" w:themeColor="text1"/>
        </w:rPr>
        <w:footnoteReference w:id="29"/>
      </w:r>
      <w:r w:rsidR="006B123B" w:rsidRPr="00644F82">
        <w:rPr>
          <w:color w:val="000000" w:themeColor="text1"/>
        </w:rPr>
        <w:t xml:space="preserve"> </w:t>
      </w:r>
      <w:r w:rsidRPr="00644F82">
        <w:rPr>
          <w:color w:val="000000" w:themeColor="text1"/>
        </w:rPr>
        <w:t xml:space="preserve">Relying on powerful emotional appeals such as patriotism or humor, World War II propaganda sought to mobilize Americans, </w:t>
      </w:r>
      <w:r w:rsidR="00C048C8" w:rsidRPr="00644F82">
        <w:rPr>
          <w:color w:val="000000" w:themeColor="text1"/>
        </w:rPr>
        <w:t xml:space="preserve">and in particular </w:t>
      </w:r>
      <w:r w:rsidR="00A15528" w:rsidRPr="00644F82">
        <w:rPr>
          <w:color w:val="000000" w:themeColor="text1"/>
        </w:rPr>
        <w:t>women</w:t>
      </w:r>
      <w:r w:rsidR="006730F6" w:rsidRPr="00644F82">
        <w:rPr>
          <w:color w:val="000000" w:themeColor="text1"/>
        </w:rPr>
        <w:t xml:space="preserve">. </w:t>
      </w:r>
    </w:p>
    <w:p w14:paraId="48C5DBEA" w14:textId="0D782E79" w:rsidR="004206B9" w:rsidRPr="00644F82" w:rsidRDefault="004206B9" w:rsidP="000865CC">
      <w:pPr>
        <w:spacing w:line="480" w:lineRule="auto"/>
        <w:ind w:firstLine="720"/>
        <w:rPr>
          <w:color w:val="000000" w:themeColor="text1"/>
        </w:rPr>
      </w:pPr>
      <w:r w:rsidRPr="00644F82">
        <w:rPr>
          <w:color w:val="000000" w:themeColor="text1"/>
        </w:rPr>
        <w:t xml:space="preserve">While there were many recruitment posters created to mobilize women, this paper will specifically examine </w:t>
      </w:r>
      <w:r w:rsidR="00821E17" w:rsidRPr="00644F82">
        <w:rPr>
          <w:color w:val="000000" w:themeColor="text1"/>
        </w:rPr>
        <w:t>five</w:t>
      </w:r>
      <w:r w:rsidRPr="00644F82">
        <w:rPr>
          <w:color w:val="000000" w:themeColor="text1"/>
        </w:rPr>
        <w:t xml:space="preserve"> </w:t>
      </w:r>
      <w:r w:rsidR="00811B7C" w:rsidRPr="00644F82">
        <w:rPr>
          <w:color w:val="000000" w:themeColor="text1"/>
        </w:rPr>
        <w:t>industrial workforce</w:t>
      </w:r>
      <w:r w:rsidRPr="00644F82">
        <w:rPr>
          <w:color w:val="000000" w:themeColor="text1"/>
        </w:rPr>
        <w:t xml:space="preserve"> posters that were published between 1943 and 1944. </w:t>
      </w:r>
      <w:r w:rsidR="00811B7C" w:rsidRPr="00644F82">
        <w:rPr>
          <w:color w:val="000000" w:themeColor="text1"/>
        </w:rPr>
        <w:t>The first poster was created by P. G. Harris</w:t>
      </w:r>
      <w:r w:rsidR="003815CC" w:rsidRPr="00644F82">
        <w:rPr>
          <w:color w:val="000000" w:themeColor="text1"/>
        </w:rPr>
        <w:t xml:space="preserve"> and was published by the US Government Printing Office in 1943</w:t>
      </w:r>
      <w:r w:rsidR="00C313CB" w:rsidRPr="00644F82">
        <w:rPr>
          <w:color w:val="000000" w:themeColor="text1"/>
        </w:rPr>
        <w:t xml:space="preserve"> (see figure 3)</w:t>
      </w:r>
      <w:r w:rsidR="003815CC" w:rsidRPr="00644F82">
        <w:rPr>
          <w:color w:val="000000" w:themeColor="text1"/>
        </w:rPr>
        <w:t>. Closely resembling Rosie, the poster depicts a young woman with blushed cheeks, perfectly pinned</w:t>
      </w:r>
      <w:r w:rsidR="004C3748" w:rsidRPr="00644F82">
        <w:rPr>
          <w:color w:val="000000" w:themeColor="text1"/>
        </w:rPr>
        <w:t>-</w:t>
      </w:r>
      <w:r w:rsidR="003815CC" w:rsidRPr="00644F82">
        <w:rPr>
          <w:color w:val="000000" w:themeColor="text1"/>
        </w:rPr>
        <w:t>up hair, and a fitted blue jumpsuit</w:t>
      </w:r>
      <w:r w:rsidR="004C3748" w:rsidRPr="00644F82">
        <w:rPr>
          <w:color w:val="000000" w:themeColor="text1"/>
        </w:rPr>
        <w:t xml:space="preserve">, </w:t>
      </w:r>
      <w:r w:rsidR="003815CC" w:rsidRPr="00644F82">
        <w:rPr>
          <w:color w:val="000000" w:themeColor="text1"/>
        </w:rPr>
        <w:t xml:space="preserve">riveting as she </w:t>
      </w:r>
      <w:r w:rsidR="003815CC" w:rsidRPr="00644F82">
        <w:rPr>
          <w:color w:val="000000" w:themeColor="text1"/>
        </w:rPr>
        <w:lastRenderedPageBreak/>
        <w:t>invites other women to “do the job he left behind.”</w:t>
      </w:r>
      <w:r w:rsidR="003815CC" w:rsidRPr="00644F82">
        <w:rPr>
          <w:rStyle w:val="FootnoteReference"/>
          <w:color w:val="000000" w:themeColor="text1"/>
        </w:rPr>
        <w:footnoteReference w:id="30"/>
      </w:r>
      <w:r w:rsidR="003815CC" w:rsidRPr="00644F82">
        <w:rPr>
          <w:color w:val="000000" w:themeColor="text1"/>
        </w:rPr>
        <w:t xml:space="preserve"> </w:t>
      </w:r>
      <w:r w:rsidR="009E2B04" w:rsidRPr="00644F82">
        <w:rPr>
          <w:color w:val="000000" w:themeColor="text1"/>
        </w:rPr>
        <w:t>T</w:t>
      </w:r>
      <w:r w:rsidR="004C3748" w:rsidRPr="00644F82">
        <w:rPr>
          <w:color w:val="000000" w:themeColor="text1"/>
        </w:rPr>
        <w:t>he poster's messaging implies that women do not already have jobs</w:t>
      </w:r>
      <w:r w:rsidR="00AC7F97" w:rsidRPr="00644F82">
        <w:rPr>
          <w:color w:val="000000" w:themeColor="text1"/>
        </w:rPr>
        <w:t xml:space="preserve">. ‘Do the job </w:t>
      </w:r>
      <w:r w:rsidR="00AC7F97" w:rsidRPr="00644F82">
        <w:rPr>
          <w:i/>
          <w:iCs/>
          <w:color w:val="000000" w:themeColor="text1"/>
        </w:rPr>
        <w:t>HE</w:t>
      </w:r>
      <w:r w:rsidR="002D2742" w:rsidRPr="00644F82">
        <w:rPr>
          <w:color w:val="000000" w:themeColor="text1"/>
        </w:rPr>
        <w:t xml:space="preserve"> </w:t>
      </w:r>
      <w:r w:rsidR="00AC7F97" w:rsidRPr="00644F82">
        <w:rPr>
          <w:color w:val="000000" w:themeColor="text1"/>
        </w:rPr>
        <w:t xml:space="preserve">left behind’ not only asserts that a woman does not already have a job—though they </w:t>
      </w:r>
      <w:r w:rsidR="00AC7F97" w:rsidRPr="00644F82">
        <w:rPr>
          <w:i/>
          <w:iCs/>
          <w:color w:val="000000" w:themeColor="text1"/>
        </w:rPr>
        <w:t>were</w:t>
      </w:r>
      <w:r w:rsidR="00AC7F97" w:rsidRPr="00644F82">
        <w:rPr>
          <w:color w:val="000000" w:themeColor="text1"/>
        </w:rPr>
        <w:t xml:space="preserve"> housewives, mothers, and caregivers—it </w:t>
      </w:r>
      <w:r w:rsidR="009E2B04" w:rsidRPr="00644F82">
        <w:rPr>
          <w:color w:val="000000" w:themeColor="text1"/>
        </w:rPr>
        <w:t>underscores a woman’s identity as attached to a man’s suggesting that she is taking over the job from her husband</w:t>
      </w:r>
      <w:r w:rsidR="00AC7F97" w:rsidRPr="00644F82">
        <w:rPr>
          <w:color w:val="000000" w:themeColor="text1"/>
        </w:rPr>
        <w:t xml:space="preserve">. </w:t>
      </w:r>
      <w:r w:rsidR="009E2B04" w:rsidRPr="00644F82">
        <w:rPr>
          <w:color w:val="000000" w:themeColor="text1"/>
        </w:rPr>
        <w:t>The poster suggests</w:t>
      </w:r>
      <w:r w:rsidR="009F4F76" w:rsidRPr="00644F82">
        <w:rPr>
          <w:color w:val="000000" w:themeColor="text1"/>
        </w:rPr>
        <w:t xml:space="preserve"> she should </w:t>
      </w:r>
      <w:r w:rsidR="009E2B04" w:rsidRPr="00644F82">
        <w:rPr>
          <w:color w:val="000000" w:themeColor="text1"/>
        </w:rPr>
        <w:t>work as an industrial laborer because her husband is presumably away at war</w:t>
      </w:r>
      <w:r w:rsidR="00A15528" w:rsidRPr="00644F82">
        <w:rPr>
          <w:color w:val="000000" w:themeColor="text1"/>
        </w:rPr>
        <w:t>, and i</w:t>
      </w:r>
      <w:r w:rsidR="009E2B04" w:rsidRPr="00644F82">
        <w:rPr>
          <w:color w:val="000000" w:themeColor="text1"/>
        </w:rPr>
        <w:t>n his absence, wives had excessive spare time through which they could</w:t>
      </w:r>
      <w:r w:rsidR="009F4F76" w:rsidRPr="00644F82">
        <w:rPr>
          <w:color w:val="000000" w:themeColor="text1"/>
        </w:rPr>
        <w:t xml:space="preserve"> contribute to the war effort. Exemplifying gendered empowerment, this poster’s messaging evokes a woman’s dependence on a man to encourage her to join the wartime workforce, rather than simply stating that she was needed independent of her relationship to a man. This poster also uses visual regimes to carefully mobilize women without threatening traditional views of domesticity and femininity. For example, the red and white stripes reflected in the metal behind her serve as a reminder of her </w:t>
      </w:r>
      <w:r w:rsidR="009E2B04" w:rsidRPr="00644F82">
        <w:rPr>
          <w:color w:val="000000" w:themeColor="text1"/>
        </w:rPr>
        <w:t>patriotic duty</w:t>
      </w:r>
      <w:r w:rsidR="00A15528" w:rsidRPr="00644F82">
        <w:rPr>
          <w:color w:val="000000" w:themeColor="text1"/>
        </w:rPr>
        <w:t xml:space="preserve"> because her country needs her</w:t>
      </w:r>
      <w:r w:rsidR="009F4F76" w:rsidRPr="00644F82">
        <w:rPr>
          <w:color w:val="000000" w:themeColor="text1"/>
        </w:rPr>
        <w:t>. Similarly, her idealized appearance not only illustrates the conventional standard of beauty but also importantly conveys that women would not lose their femininity if they took a war job.</w:t>
      </w:r>
      <w:r w:rsidR="00360E9C" w:rsidRPr="00644F82">
        <w:rPr>
          <w:color w:val="000000" w:themeColor="text1"/>
        </w:rPr>
        <w:t xml:space="preserve"> </w:t>
      </w:r>
    </w:p>
    <w:p w14:paraId="155B520B" w14:textId="126176A4" w:rsidR="00AB7851" w:rsidRPr="00644F82" w:rsidRDefault="00FA6574" w:rsidP="00520718">
      <w:pPr>
        <w:spacing w:line="480" w:lineRule="auto"/>
        <w:ind w:firstLine="720"/>
        <w:rPr>
          <w:color w:val="000000" w:themeColor="text1"/>
        </w:rPr>
      </w:pPr>
      <w:r w:rsidRPr="00644F82">
        <w:rPr>
          <w:color w:val="000000" w:themeColor="text1"/>
        </w:rPr>
        <w:t xml:space="preserve">Expanding on this notion of female dependence on a man, another recruitment poster </w:t>
      </w:r>
      <w:r w:rsidR="00B616C4" w:rsidRPr="00644F82">
        <w:rPr>
          <w:color w:val="000000" w:themeColor="text1"/>
        </w:rPr>
        <w:t xml:space="preserve">more explicitly </w:t>
      </w:r>
      <w:r w:rsidRPr="00644F82">
        <w:rPr>
          <w:color w:val="000000" w:themeColor="text1"/>
        </w:rPr>
        <w:t xml:space="preserve">promotes female mobilization through her relationship to a man. </w:t>
      </w:r>
      <w:r w:rsidR="00B616C4" w:rsidRPr="00644F82">
        <w:rPr>
          <w:color w:val="000000" w:themeColor="text1"/>
        </w:rPr>
        <w:t>Created by Lawrence Wilbur, the US Government Printing Office published “Longing Won’t Bring Him Back Sooner” in 1944</w:t>
      </w:r>
      <w:r w:rsidR="00C313CB" w:rsidRPr="00644F82">
        <w:rPr>
          <w:color w:val="000000" w:themeColor="text1"/>
        </w:rPr>
        <w:t xml:space="preserve"> (see figure 4)</w:t>
      </w:r>
      <w:r w:rsidR="00B616C4" w:rsidRPr="00644F82">
        <w:rPr>
          <w:color w:val="000000" w:themeColor="text1"/>
        </w:rPr>
        <w:t>.</w:t>
      </w:r>
      <w:r w:rsidR="00B616C4" w:rsidRPr="00644F82">
        <w:rPr>
          <w:rStyle w:val="FootnoteReference"/>
          <w:color w:val="000000" w:themeColor="text1"/>
        </w:rPr>
        <w:footnoteReference w:id="31"/>
      </w:r>
      <w:r w:rsidR="00B616C4" w:rsidRPr="00644F82">
        <w:rPr>
          <w:color w:val="000000" w:themeColor="text1"/>
        </w:rPr>
        <w:t xml:space="preserve"> </w:t>
      </w:r>
      <w:r w:rsidR="00AB7851" w:rsidRPr="00644F82">
        <w:rPr>
          <w:color w:val="000000" w:themeColor="text1"/>
        </w:rPr>
        <w:t>Unlike other recruitment posters, this woman is not dressed in an industrial jumpsuit. Instead, she appears polished and tidy in a red blazer</w:t>
      </w:r>
      <w:r w:rsidR="00DF6375" w:rsidRPr="00644F82">
        <w:rPr>
          <w:color w:val="000000" w:themeColor="text1"/>
        </w:rPr>
        <w:t>, manicured nails,</w:t>
      </w:r>
      <w:r w:rsidR="00AB7851" w:rsidRPr="00644F82">
        <w:rPr>
          <w:color w:val="000000" w:themeColor="text1"/>
        </w:rPr>
        <w:t xml:space="preserve"> and blown</w:t>
      </w:r>
      <w:r w:rsidR="009F4F76" w:rsidRPr="00644F82">
        <w:rPr>
          <w:color w:val="000000" w:themeColor="text1"/>
        </w:rPr>
        <w:t>-</w:t>
      </w:r>
      <w:r w:rsidR="00AB7851" w:rsidRPr="00644F82">
        <w:rPr>
          <w:color w:val="000000" w:themeColor="text1"/>
        </w:rPr>
        <w:t xml:space="preserve">out hair, epitomizing the intended audience of these efforts: </w:t>
      </w:r>
      <w:r w:rsidR="00520718" w:rsidRPr="00644F82">
        <w:rPr>
          <w:color w:val="000000" w:themeColor="text1"/>
        </w:rPr>
        <w:t xml:space="preserve">white </w:t>
      </w:r>
      <w:r w:rsidR="00AB7851" w:rsidRPr="00644F82">
        <w:rPr>
          <w:color w:val="000000" w:themeColor="text1"/>
        </w:rPr>
        <w:lastRenderedPageBreak/>
        <w:t xml:space="preserve">middle-class housewives. </w:t>
      </w:r>
      <w:r w:rsidR="009F4F76" w:rsidRPr="00644F82">
        <w:rPr>
          <w:color w:val="000000" w:themeColor="text1"/>
        </w:rPr>
        <w:t xml:space="preserve">The emotional message, combined with the intentional depiction of a housewife, makes this more relatable to other women whose husbands are away. It inspires women to channel their emotions toward something </w:t>
      </w:r>
      <w:r w:rsidR="00520718" w:rsidRPr="00644F82">
        <w:rPr>
          <w:color w:val="000000" w:themeColor="text1"/>
        </w:rPr>
        <w:t>‘</w:t>
      </w:r>
      <w:r w:rsidR="009F4F76" w:rsidRPr="00644F82">
        <w:rPr>
          <w:color w:val="000000" w:themeColor="text1"/>
        </w:rPr>
        <w:t>productive,</w:t>
      </w:r>
      <w:r w:rsidR="00520718" w:rsidRPr="00644F82">
        <w:rPr>
          <w:color w:val="000000" w:themeColor="text1"/>
        </w:rPr>
        <w:t>’</w:t>
      </w:r>
      <w:r w:rsidR="009F4F76" w:rsidRPr="00644F82">
        <w:rPr>
          <w:color w:val="000000" w:themeColor="text1"/>
        </w:rPr>
        <w:t xml:space="preserve"> and in this case, the most productive thing they can do is </w:t>
      </w:r>
      <w:r w:rsidR="00520718" w:rsidRPr="00644F82">
        <w:rPr>
          <w:color w:val="000000" w:themeColor="text1"/>
        </w:rPr>
        <w:t>“</w:t>
      </w:r>
      <w:r w:rsidR="009F4F76" w:rsidRPr="00644F82">
        <w:rPr>
          <w:color w:val="000000" w:themeColor="text1"/>
        </w:rPr>
        <w:t>get a war job.</w:t>
      </w:r>
      <w:r w:rsidR="00520718" w:rsidRPr="00644F82">
        <w:rPr>
          <w:color w:val="000000" w:themeColor="text1"/>
        </w:rPr>
        <w:t>”</w:t>
      </w:r>
      <w:r w:rsidR="00DF6375" w:rsidRPr="00644F82">
        <w:rPr>
          <w:rStyle w:val="FootnoteReference"/>
          <w:color w:val="000000" w:themeColor="text1"/>
        </w:rPr>
        <w:footnoteReference w:id="32"/>
      </w:r>
      <w:r w:rsidR="009F4F76" w:rsidRPr="00644F82">
        <w:rPr>
          <w:color w:val="000000" w:themeColor="text1"/>
        </w:rPr>
        <w:t xml:space="preserve"> </w:t>
      </w:r>
      <w:r w:rsidR="00E16771">
        <w:rPr>
          <w:color w:val="000000" w:themeColor="text1"/>
        </w:rPr>
        <w:t>T</w:t>
      </w:r>
      <w:r w:rsidR="009F4F76" w:rsidRPr="00644F82">
        <w:rPr>
          <w:color w:val="000000" w:themeColor="text1"/>
        </w:rPr>
        <w:t>he messaging of this poster implies that she can get a wartime job</w:t>
      </w:r>
      <w:r w:rsidR="00520718" w:rsidRPr="00644F82">
        <w:rPr>
          <w:color w:val="000000" w:themeColor="text1"/>
        </w:rPr>
        <w:t xml:space="preserve"> only because her husband is away, </w:t>
      </w:r>
      <w:r w:rsidR="009F4F76" w:rsidRPr="00644F82">
        <w:rPr>
          <w:color w:val="000000" w:themeColor="text1"/>
        </w:rPr>
        <w:t xml:space="preserve">demonstrating the gendered empowerment present in these mobilization efforts. </w:t>
      </w:r>
      <w:r w:rsidR="0087424C" w:rsidRPr="00644F82">
        <w:rPr>
          <w:color w:val="000000" w:themeColor="text1"/>
        </w:rPr>
        <w:t>This poster also</w:t>
      </w:r>
      <w:r w:rsidR="009F4F76" w:rsidRPr="00644F82">
        <w:rPr>
          <w:color w:val="000000" w:themeColor="text1"/>
        </w:rPr>
        <w:t xml:space="preserve"> employs images associated with patriotism</w:t>
      </w:r>
      <w:r w:rsidR="00E6243C" w:rsidRPr="00644F82">
        <w:rPr>
          <w:color w:val="000000" w:themeColor="text1"/>
        </w:rPr>
        <w:t xml:space="preserve"> to frame female mobilization as part of women’s patriotic duty</w:t>
      </w:r>
      <w:r w:rsidR="0087424C" w:rsidRPr="00644F82">
        <w:rPr>
          <w:color w:val="000000" w:themeColor="text1"/>
        </w:rPr>
        <w:t xml:space="preserve">. </w:t>
      </w:r>
      <w:r w:rsidR="0018093F">
        <w:rPr>
          <w:color w:val="000000" w:themeColor="text1"/>
        </w:rPr>
        <w:t>T</w:t>
      </w:r>
      <w:r w:rsidR="00A070F9" w:rsidRPr="00644F82">
        <w:rPr>
          <w:color w:val="000000" w:themeColor="text1"/>
        </w:rPr>
        <w:t xml:space="preserve">he US Service Flag hangs </w:t>
      </w:r>
      <w:r w:rsidR="00331E37" w:rsidRPr="00644F82">
        <w:rPr>
          <w:color w:val="000000" w:themeColor="text1"/>
        </w:rPr>
        <w:t xml:space="preserve">behind </w:t>
      </w:r>
      <w:r w:rsidR="00A070F9" w:rsidRPr="00644F82">
        <w:rPr>
          <w:color w:val="000000" w:themeColor="text1"/>
        </w:rPr>
        <w:t xml:space="preserve">the woman, the </w:t>
      </w:r>
      <w:r w:rsidR="00331E37" w:rsidRPr="00644F82">
        <w:rPr>
          <w:color w:val="000000" w:themeColor="text1"/>
        </w:rPr>
        <w:t>single blue</w:t>
      </w:r>
      <w:r w:rsidR="00A070F9" w:rsidRPr="00644F82">
        <w:rPr>
          <w:color w:val="000000" w:themeColor="text1"/>
        </w:rPr>
        <w:t xml:space="preserve"> star representing </w:t>
      </w:r>
      <w:r w:rsidR="00331E37" w:rsidRPr="00644F82">
        <w:rPr>
          <w:color w:val="000000" w:themeColor="text1"/>
        </w:rPr>
        <w:t>her husband who is presumably fighting abroad.</w:t>
      </w:r>
      <w:r w:rsidR="003C335E" w:rsidRPr="00644F82">
        <w:rPr>
          <w:rStyle w:val="FootnoteReference"/>
          <w:color w:val="000000" w:themeColor="text1"/>
        </w:rPr>
        <w:footnoteReference w:id="33"/>
      </w:r>
      <w:r w:rsidR="00331E37" w:rsidRPr="00644F82">
        <w:rPr>
          <w:color w:val="000000" w:themeColor="text1"/>
        </w:rPr>
        <w:t xml:space="preserve"> </w:t>
      </w:r>
      <w:r w:rsidR="00320BB1">
        <w:rPr>
          <w:color w:val="000000" w:themeColor="text1"/>
        </w:rPr>
        <w:t>The</w:t>
      </w:r>
      <w:r w:rsidR="00693B22" w:rsidRPr="00644F82">
        <w:rPr>
          <w:color w:val="000000" w:themeColor="text1"/>
        </w:rPr>
        <w:t xml:space="preserve"> poster frames female mobilization as patriotic</w:t>
      </w:r>
      <w:r w:rsidR="00E6243C" w:rsidRPr="00644F82">
        <w:rPr>
          <w:color w:val="000000" w:themeColor="text1"/>
        </w:rPr>
        <w:t xml:space="preserve"> and thereby subsid</w:t>
      </w:r>
      <w:r w:rsidR="00DF6375" w:rsidRPr="00644F82">
        <w:rPr>
          <w:color w:val="000000" w:themeColor="text1"/>
        </w:rPr>
        <w:t>es</w:t>
      </w:r>
      <w:r w:rsidR="00E6243C" w:rsidRPr="00644F82">
        <w:rPr>
          <w:color w:val="000000" w:themeColor="text1"/>
        </w:rPr>
        <w:t xml:space="preserve"> the threat to traditional gender roles</w:t>
      </w:r>
      <w:r w:rsidR="00DF6375" w:rsidRPr="00644F82">
        <w:rPr>
          <w:color w:val="000000" w:themeColor="text1"/>
        </w:rPr>
        <w:t xml:space="preserve"> as women enter the public sphere. </w:t>
      </w:r>
    </w:p>
    <w:p w14:paraId="28DFA2C4" w14:textId="401135EA" w:rsidR="00D624C9" w:rsidRPr="00644F82" w:rsidRDefault="00311904" w:rsidP="00F6138B">
      <w:pPr>
        <w:spacing w:line="480" w:lineRule="auto"/>
        <w:rPr>
          <w:color w:val="000000" w:themeColor="text1"/>
        </w:rPr>
      </w:pPr>
      <w:r w:rsidRPr="00644F82">
        <w:rPr>
          <w:color w:val="000000" w:themeColor="text1"/>
        </w:rPr>
        <w:tab/>
        <w:t xml:space="preserve">Unlike the previous war posters examined, </w:t>
      </w:r>
      <w:r w:rsidR="002E4228" w:rsidRPr="00644F82">
        <w:rPr>
          <w:color w:val="000000" w:themeColor="text1"/>
        </w:rPr>
        <w:t>this</w:t>
      </w:r>
      <w:r w:rsidRPr="00644F82">
        <w:rPr>
          <w:color w:val="000000" w:themeColor="text1"/>
        </w:rPr>
        <w:t xml:space="preserve"> 1944 poster directly connects female mobilization with male approval. Created by John </w:t>
      </w:r>
      <w:r w:rsidR="002E4228" w:rsidRPr="00644F82">
        <w:rPr>
          <w:color w:val="000000" w:themeColor="text1"/>
        </w:rPr>
        <w:t xml:space="preserve">Newton Howitt and published by the US Government Publishing Office, </w:t>
      </w:r>
      <w:r w:rsidR="001B2011" w:rsidRPr="00644F82">
        <w:rPr>
          <w:color w:val="000000" w:themeColor="text1"/>
        </w:rPr>
        <w:t xml:space="preserve">this poster openly frames </w:t>
      </w:r>
      <w:r w:rsidR="002E4228" w:rsidRPr="00644F82">
        <w:rPr>
          <w:color w:val="000000" w:themeColor="text1"/>
        </w:rPr>
        <w:t>female mobilization as a condition of her domesticity</w:t>
      </w:r>
      <w:r w:rsidR="00C313CB" w:rsidRPr="00644F82">
        <w:rPr>
          <w:color w:val="000000" w:themeColor="text1"/>
        </w:rPr>
        <w:t xml:space="preserve"> (see figure 5)</w:t>
      </w:r>
      <w:r w:rsidR="002E4228" w:rsidRPr="00644F82">
        <w:rPr>
          <w:color w:val="000000" w:themeColor="text1"/>
        </w:rPr>
        <w:t xml:space="preserve">. </w:t>
      </w:r>
      <w:r w:rsidR="001B2011" w:rsidRPr="00644F82">
        <w:rPr>
          <w:color w:val="000000" w:themeColor="text1"/>
        </w:rPr>
        <w:t>Against the backdrop of the American flag, her husband places his hands on her shoulders, signaling his approval, as she proudly stands tall</w:t>
      </w:r>
      <w:r w:rsidR="009F4F76" w:rsidRPr="00644F82">
        <w:rPr>
          <w:color w:val="000000" w:themeColor="text1"/>
        </w:rPr>
        <w:t>,</w:t>
      </w:r>
      <w:r w:rsidR="001B2011" w:rsidRPr="00644F82">
        <w:rPr>
          <w:color w:val="000000" w:themeColor="text1"/>
        </w:rPr>
        <w:t xml:space="preserve"> dressed in work clothes. The message below them reads “I’m Proud…my husband wants me to do my part,” signaling a woman’s ability to enter the workforce because her husband wants her to.</w:t>
      </w:r>
      <w:r w:rsidR="000B5B61" w:rsidRPr="00644F82">
        <w:rPr>
          <w:rStyle w:val="FootnoteReference"/>
          <w:color w:val="000000" w:themeColor="text1"/>
        </w:rPr>
        <w:footnoteReference w:id="34"/>
      </w:r>
      <w:r w:rsidR="001B2011" w:rsidRPr="00644F82">
        <w:rPr>
          <w:color w:val="000000" w:themeColor="text1"/>
        </w:rPr>
        <w:t xml:space="preserve"> </w:t>
      </w:r>
      <w:r w:rsidR="009F4F76" w:rsidRPr="00644F82">
        <w:rPr>
          <w:color w:val="000000" w:themeColor="text1"/>
        </w:rPr>
        <w:t xml:space="preserve">This poster clearly shows how female empowerment was </w:t>
      </w:r>
      <w:r w:rsidR="00520718" w:rsidRPr="00644F82">
        <w:rPr>
          <w:color w:val="000000" w:themeColor="text1"/>
        </w:rPr>
        <w:t>encouraged by relying on the gender hierarchy between men and women</w:t>
      </w:r>
      <w:r w:rsidR="009F4F76" w:rsidRPr="00644F82">
        <w:rPr>
          <w:color w:val="000000" w:themeColor="text1"/>
        </w:rPr>
        <w:t xml:space="preserve">. Not only does this poster demonstrate how female mobilization was framed to preserve traditional gender roles, but it also reflects the </w:t>
      </w:r>
      <w:r w:rsidR="009F4F76" w:rsidRPr="00644F82">
        <w:rPr>
          <w:color w:val="000000" w:themeColor="text1"/>
        </w:rPr>
        <w:lastRenderedPageBreak/>
        <w:t xml:space="preserve">underappreciation of women’s domestic work. Her husband wants her to do her part; however, she was already caring for her family and maintaining the household, thereby highlighting the invisibility of </w:t>
      </w:r>
      <w:r w:rsidR="00520718" w:rsidRPr="00644F82">
        <w:rPr>
          <w:color w:val="000000" w:themeColor="text1"/>
        </w:rPr>
        <w:t xml:space="preserve">domestic </w:t>
      </w:r>
      <w:r w:rsidR="009F4F76" w:rsidRPr="00644F82">
        <w:rPr>
          <w:color w:val="000000" w:themeColor="text1"/>
        </w:rPr>
        <w:t>labor. Furthermore, this poster draws on visual regimes to connect female mobilization with patriotism, domesticity, and femininity. For instance, she is wearing work clothes that are not traditionally feminine, yet this is remedied by her makeup and pinned-up hair. Her face remains idealized even though her outfit makes her appear more masculine. As seen in the previous posters, this one similarly includes the American flag to indicate that this participation is part of her patriotic duty</w:t>
      </w:r>
      <w:r w:rsidR="001F5688" w:rsidRPr="00644F82">
        <w:rPr>
          <w:color w:val="000000" w:themeColor="text1"/>
        </w:rPr>
        <w:t xml:space="preserve">, effectively framing her presence in the public sphere as one </w:t>
      </w:r>
      <w:r w:rsidR="00DF6FD5" w:rsidRPr="00644F82">
        <w:rPr>
          <w:color w:val="000000" w:themeColor="text1"/>
        </w:rPr>
        <w:t xml:space="preserve">out of necessity for her country. </w:t>
      </w:r>
      <w:r w:rsidR="00D624C9" w:rsidRPr="00644F82">
        <w:rPr>
          <w:color w:val="000000" w:themeColor="text1"/>
        </w:rPr>
        <w:t xml:space="preserve"> </w:t>
      </w:r>
    </w:p>
    <w:p w14:paraId="276DFC86" w14:textId="056DAEAF" w:rsidR="00510F07" w:rsidRDefault="00EF012E" w:rsidP="00F6138B">
      <w:pPr>
        <w:spacing w:line="480" w:lineRule="auto"/>
        <w:rPr>
          <w:color w:val="000000" w:themeColor="text1"/>
        </w:rPr>
      </w:pPr>
      <w:r w:rsidRPr="00644F82">
        <w:rPr>
          <w:color w:val="000000" w:themeColor="text1"/>
        </w:rPr>
        <w:tab/>
        <w:t xml:space="preserve">Other war posters did not frame female mobilization through their relationship with their male counterparts. </w:t>
      </w:r>
      <w:r w:rsidR="00264B0E" w:rsidRPr="00644F82">
        <w:rPr>
          <w:color w:val="000000" w:themeColor="text1"/>
        </w:rPr>
        <w:t xml:space="preserve">A 1943 poster </w:t>
      </w:r>
      <w:r w:rsidR="007E5C22" w:rsidRPr="00644F82">
        <w:rPr>
          <w:color w:val="000000" w:themeColor="text1"/>
        </w:rPr>
        <w:t>encouraged women to join the war effort by finding the job that best fit them</w:t>
      </w:r>
      <w:r w:rsidR="00C313CB" w:rsidRPr="00644F82">
        <w:rPr>
          <w:color w:val="000000" w:themeColor="text1"/>
        </w:rPr>
        <w:t xml:space="preserve"> (see figure </w:t>
      </w:r>
      <w:r w:rsidR="00821E17" w:rsidRPr="00644F82">
        <w:rPr>
          <w:color w:val="000000" w:themeColor="text1"/>
        </w:rPr>
        <w:t>6</w:t>
      </w:r>
      <w:r w:rsidR="00C313CB" w:rsidRPr="00644F82">
        <w:rPr>
          <w:color w:val="000000" w:themeColor="text1"/>
        </w:rPr>
        <w:t>)</w:t>
      </w:r>
      <w:r w:rsidR="007E5C22" w:rsidRPr="00644F82">
        <w:rPr>
          <w:color w:val="000000" w:themeColor="text1"/>
        </w:rPr>
        <w:t>. It promotes a variety of war jobs</w:t>
      </w:r>
      <w:r w:rsidR="009F4F76" w:rsidRPr="00644F82">
        <w:rPr>
          <w:color w:val="000000" w:themeColor="text1"/>
        </w:rPr>
        <w:t>,</w:t>
      </w:r>
      <w:r w:rsidR="007E5C22" w:rsidRPr="00644F82">
        <w:rPr>
          <w:color w:val="000000" w:themeColor="text1"/>
        </w:rPr>
        <w:t xml:space="preserve"> including “industry, agriculture, [and] business,” highlighting the many ways in which women could help the homefront.</w:t>
      </w:r>
      <w:r w:rsidR="007E5C22" w:rsidRPr="00644F82">
        <w:rPr>
          <w:rStyle w:val="FootnoteReference"/>
          <w:color w:val="000000" w:themeColor="text1"/>
        </w:rPr>
        <w:footnoteReference w:id="35"/>
      </w:r>
      <w:r w:rsidR="007E5C22" w:rsidRPr="00644F82">
        <w:rPr>
          <w:color w:val="000000" w:themeColor="text1"/>
        </w:rPr>
        <w:t xml:space="preserve"> Unlike previous posters, this one seems to give women </w:t>
      </w:r>
      <w:r w:rsidR="00321404" w:rsidRPr="00644F82">
        <w:rPr>
          <w:color w:val="000000" w:themeColor="text1"/>
        </w:rPr>
        <w:t>greater</w:t>
      </w:r>
      <w:r w:rsidR="009F4F76" w:rsidRPr="00644F82">
        <w:rPr>
          <w:color w:val="000000" w:themeColor="text1"/>
        </w:rPr>
        <w:t xml:space="preserve"> </w:t>
      </w:r>
      <w:r w:rsidR="007E5C22" w:rsidRPr="00644F82">
        <w:rPr>
          <w:color w:val="000000" w:themeColor="text1"/>
        </w:rPr>
        <w:t>autonomy</w:t>
      </w:r>
      <w:r w:rsidR="00321404" w:rsidRPr="00644F82">
        <w:rPr>
          <w:color w:val="000000" w:themeColor="text1"/>
        </w:rPr>
        <w:t xml:space="preserve">. </w:t>
      </w:r>
      <w:r w:rsidR="007E5C22" w:rsidRPr="00644F82">
        <w:rPr>
          <w:color w:val="000000" w:themeColor="text1"/>
        </w:rPr>
        <w:t xml:space="preserve">“I’ve found the job </w:t>
      </w:r>
      <w:r w:rsidR="00321404" w:rsidRPr="00644F82">
        <w:rPr>
          <w:color w:val="000000" w:themeColor="text1"/>
        </w:rPr>
        <w:t>where</w:t>
      </w:r>
      <w:r w:rsidR="007E5C22" w:rsidRPr="00644F82">
        <w:rPr>
          <w:color w:val="000000" w:themeColor="text1"/>
        </w:rPr>
        <w:t xml:space="preserve"> I fit best!” and “Find your war job” </w:t>
      </w:r>
      <w:r w:rsidR="00321404" w:rsidRPr="00644F82">
        <w:rPr>
          <w:color w:val="000000" w:themeColor="text1"/>
        </w:rPr>
        <w:t>imply that women have a say in the war job they choose</w:t>
      </w:r>
      <w:r w:rsidR="00E90EC5" w:rsidRPr="00644F82">
        <w:rPr>
          <w:color w:val="000000" w:themeColor="text1"/>
        </w:rPr>
        <w:t xml:space="preserve">. Moreover, </w:t>
      </w:r>
      <w:r w:rsidR="000E4FC3" w:rsidRPr="00644F82">
        <w:rPr>
          <w:color w:val="000000" w:themeColor="text1"/>
        </w:rPr>
        <w:t xml:space="preserve">promoting jobs </w:t>
      </w:r>
      <w:r w:rsidR="00E90EC5" w:rsidRPr="00644F82">
        <w:rPr>
          <w:color w:val="000000" w:themeColor="text1"/>
        </w:rPr>
        <w:t>“</w:t>
      </w:r>
      <w:r w:rsidR="000E4FC3" w:rsidRPr="00644F82">
        <w:rPr>
          <w:color w:val="000000" w:themeColor="text1"/>
        </w:rPr>
        <w:t>i</w:t>
      </w:r>
      <w:r w:rsidR="00E90EC5" w:rsidRPr="00644F82">
        <w:rPr>
          <w:color w:val="000000" w:themeColor="text1"/>
        </w:rPr>
        <w:t xml:space="preserve">n </w:t>
      </w:r>
      <w:r w:rsidR="000E4FC3" w:rsidRPr="00644F82">
        <w:rPr>
          <w:color w:val="000000" w:themeColor="text1"/>
        </w:rPr>
        <w:t>i</w:t>
      </w:r>
      <w:r w:rsidR="00E90EC5" w:rsidRPr="00644F82">
        <w:rPr>
          <w:color w:val="000000" w:themeColor="text1"/>
        </w:rPr>
        <w:t xml:space="preserve">ndustry, </w:t>
      </w:r>
      <w:r w:rsidR="000E4FC3" w:rsidRPr="00644F82">
        <w:rPr>
          <w:color w:val="000000" w:themeColor="text1"/>
        </w:rPr>
        <w:t>a</w:t>
      </w:r>
      <w:r w:rsidR="00E90EC5" w:rsidRPr="00644F82">
        <w:rPr>
          <w:color w:val="000000" w:themeColor="text1"/>
        </w:rPr>
        <w:t xml:space="preserve">griculture, </w:t>
      </w:r>
      <w:r w:rsidR="000E4FC3" w:rsidRPr="00644F82">
        <w:rPr>
          <w:color w:val="000000" w:themeColor="text1"/>
        </w:rPr>
        <w:t>[and] b</w:t>
      </w:r>
      <w:r w:rsidR="00E90EC5" w:rsidRPr="00644F82">
        <w:rPr>
          <w:color w:val="000000" w:themeColor="text1"/>
        </w:rPr>
        <w:t>usiness” suggest that women are capable of participating in the war effort beyond their typical caretaker role as nurses, alluding to that fact that the war was expanding women’s role outside of the private sphere into new areas such as industry.</w:t>
      </w:r>
      <w:r w:rsidR="00E90EC5" w:rsidRPr="00644F82">
        <w:rPr>
          <w:rStyle w:val="FootnoteReference"/>
          <w:color w:val="000000" w:themeColor="text1"/>
        </w:rPr>
        <w:footnoteReference w:id="36"/>
      </w:r>
      <w:r w:rsidR="00E90EC5" w:rsidRPr="00644F82">
        <w:rPr>
          <w:color w:val="000000" w:themeColor="text1"/>
        </w:rPr>
        <w:t xml:space="preserve"> Yet, </w:t>
      </w:r>
      <w:r w:rsidR="00321404" w:rsidRPr="00644F82">
        <w:rPr>
          <w:color w:val="000000" w:themeColor="text1"/>
        </w:rPr>
        <w:t>this poster still exemplifies gendered empowerment.</w:t>
      </w:r>
      <w:r w:rsidR="007E5C22" w:rsidRPr="00644F82">
        <w:rPr>
          <w:rStyle w:val="FootnoteReference"/>
          <w:color w:val="000000" w:themeColor="text1"/>
        </w:rPr>
        <w:footnoteReference w:id="37"/>
      </w:r>
      <w:r w:rsidR="00321404" w:rsidRPr="00644F82">
        <w:rPr>
          <w:color w:val="000000" w:themeColor="text1"/>
        </w:rPr>
        <w:t xml:space="preserve"> “I’ve found the job where I fit best!” implies that women did not already have jobs, </w:t>
      </w:r>
      <w:r w:rsidR="000865CC" w:rsidRPr="00644F82">
        <w:rPr>
          <w:color w:val="000000" w:themeColor="text1"/>
        </w:rPr>
        <w:t>yet</w:t>
      </w:r>
      <w:r w:rsidR="00321404" w:rsidRPr="00644F82">
        <w:rPr>
          <w:color w:val="000000" w:themeColor="text1"/>
        </w:rPr>
        <w:t xml:space="preserve"> as previously discussed, that was not the case</w:t>
      </w:r>
      <w:r w:rsidR="009F4F76" w:rsidRPr="00644F82">
        <w:rPr>
          <w:color w:val="000000" w:themeColor="text1"/>
        </w:rPr>
        <w:t xml:space="preserve">. This opportunity to finally get a job was framed to embolden </w:t>
      </w:r>
      <w:r w:rsidR="009F4F76" w:rsidRPr="00644F82">
        <w:rPr>
          <w:color w:val="000000" w:themeColor="text1"/>
        </w:rPr>
        <w:lastRenderedPageBreak/>
        <w:t>women, yet in reality, it demonstrates the underappreciation of invisible labor and the need to preserve the public and private spheres. Additionally, this poster, like the others, continues to portray women in an idealized manner. Though this poster is in black and white, her lipstick, eyeshadow, and blush shine through</w:t>
      </w:r>
      <w:r w:rsidR="00F47699">
        <w:rPr>
          <w:color w:val="000000" w:themeColor="text1"/>
        </w:rPr>
        <w:t>.</w:t>
      </w:r>
      <w:r w:rsidR="009F4F76" w:rsidRPr="00644F82">
        <w:rPr>
          <w:color w:val="000000" w:themeColor="text1"/>
        </w:rPr>
        <w:t xml:space="preserve"> </w:t>
      </w:r>
      <w:r w:rsidR="00F47699">
        <w:rPr>
          <w:color w:val="000000" w:themeColor="text1"/>
        </w:rPr>
        <w:t xml:space="preserve">By </w:t>
      </w:r>
      <w:r w:rsidR="00EE16A6">
        <w:rPr>
          <w:color w:val="000000" w:themeColor="text1"/>
        </w:rPr>
        <w:t>creating</w:t>
      </w:r>
      <w:r w:rsidR="009F4F76" w:rsidRPr="00644F82">
        <w:rPr>
          <w:color w:val="000000" w:themeColor="text1"/>
        </w:rPr>
        <w:t xml:space="preserve"> an unrealistic </w:t>
      </w:r>
      <w:r w:rsidR="00EE16A6">
        <w:rPr>
          <w:color w:val="000000" w:themeColor="text1"/>
        </w:rPr>
        <w:t>portrayal</w:t>
      </w:r>
      <w:r w:rsidR="00F47699" w:rsidRPr="00644F82">
        <w:rPr>
          <w:color w:val="000000" w:themeColor="text1"/>
        </w:rPr>
        <w:t xml:space="preserve"> </w:t>
      </w:r>
      <w:r w:rsidR="009F4F76" w:rsidRPr="00644F82">
        <w:rPr>
          <w:color w:val="000000" w:themeColor="text1"/>
        </w:rPr>
        <w:t>of a working woman</w:t>
      </w:r>
      <w:r w:rsidR="00F47699">
        <w:rPr>
          <w:color w:val="000000" w:themeColor="text1"/>
        </w:rPr>
        <w:t>, this</w:t>
      </w:r>
      <w:r w:rsidR="009F4F76" w:rsidRPr="00644F82">
        <w:rPr>
          <w:color w:val="000000" w:themeColor="text1"/>
        </w:rPr>
        <w:t xml:space="preserve"> image reinforces the conventional standards of beauty placed on women and continues to promote traditional views of femininity</w:t>
      </w:r>
      <w:r w:rsidR="00E90EC5" w:rsidRPr="00644F82">
        <w:rPr>
          <w:color w:val="000000" w:themeColor="text1"/>
        </w:rPr>
        <w:t xml:space="preserve">. </w:t>
      </w:r>
    </w:p>
    <w:p w14:paraId="371607BF" w14:textId="4E283911" w:rsidR="00F90001" w:rsidRPr="00644F82" w:rsidRDefault="00E90EC5" w:rsidP="00EE16A6">
      <w:pPr>
        <w:spacing w:line="480" w:lineRule="auto"/>
        <w:ind w:firstLine="720"/>
        <w:rPr>
          <w:color w:val="000000" w:themeColor="text1"/>
        </w:rPr>
      </w:pPr>
      <w:r w:rsidRPr="00644F82">
        <w:rPr>
          <w:color w:val="000000" w:themeColor="text1"/>
        </w:rPr>
        <w:t xml:space="preserve">It also important to note the portrayal of </w:t>
      </w:r>
      <w:r w:rsidR="00947BB1" w:rsidRPr="00644F82">
        <w:rPr>
          <w:color w:val="000000" w:themeColor="text1"/>
        </w:rPr>
        <w:t xml:space="preserve">working women as white. Even though Executive Order </w:t>
      </w:r>
      <w:r w:rsidR="000A213B" w:rsidRPr="00644F82">
        <w:rPr>
          <w:color w:val="000000" w:themeColor="text1"/>
        </w:rPr>
        <w:t xml:space="preserve">8802 </w:t>
      </w:r>
      <w:r w:rsidR="00947BB1" w:rsidRPr="00644F82">
        <w:rPr>
          <w:color w:val="000000" w:themeColor="text1"/>
        </w:rPr>
        <w:t>banned discrimination in defense plants, governments offices, and government services, black Americans still experienced discrimination and were typically overlooked in this wartime narrative.</w:t>
      </w:r>
      <w:r w:rsidR="00947BB1" w:rsidRPr="00644F82">
        <w:rPr>
          <w:rStyle w:val="FootnoteReference"/>
          <w:color w:val="000000" w:themeColor="text1"/>
        </w:rPr>
        <w:footnoteReference w:id="38"/>
      </w:r>
      <w:r w:rsidR="00947BB1" w:rsidRPr="00644F82">
        <w:rPr>
          <w:color w:val="000000" w:themeColor="text1"/>
        </w:rPr>
        <w:t xml:space="preserve"> </w:t>
      </w:r>
      <w:r w:rsidR="000A213B" w:rsidRPr="00644F82">
        <w:rPr>
          <w:color w:val="000000" w:themeColor="text1"/>
        </w:rPr>
        <w:t>Therefore</w:t>
      </w:r>
      <w:r w:rsidR="00947BB1" w:rsidRPr="00644F82">
        <w:rPr>
          <w:color w:val="000000" w:themeColor="text1"/>
        </w:rPr>
        <w:t xml:space="preserve">, because these campaigns targeted white middle-class women, Black women and their contributions were largely overlooked.  </w:t>
      </w:r>
    </w:p>
    <w:p w14:paraId="75BBE13F" w14:textId="5708B01F" w:rsidR="00821E17" w:rsidRPr="00644F82" w:rsidRDefault="00F90001" w:rsidP="00F6138B">
      <w:pPr>
        <w:spacing w:line="480" w:lineRule="auto"/>
        <w:rPr>
          <w:color w:val="000000" w:themeColor="text1"/>
        </w:rPr>
      </w:pPr>
      <w:r w:rsidRPr="00644F82">
        <w:rPr>
          <w:color w:val="000000" w:themeColor="text1"/>
        </w:rPr>
        <w:tab/>
        <w:t xml:space="preserve"> Another war poster seemingly portrayed women as independent contributors to the war effort. </w:t>
      </w:r>
      <w:r w:rsidR="00CD4571" w:rsidRPr="00644F82">
        <w:rPr>
          <w:color w:val="000000" w:themeColor="text1"/>
        </w:rPr>
        <w:t>In 1944, the US Government Printing Office published Vernon Grant’s “Women: There’s Work to Be Done and a War to Be Won…Now!”</w:t>
      </w:r>
      <w:r w:rsidR="00C313CB" w:rsidRPr="00644F82">
        <w:rPr>
          <w:color w:val="000000" w:themeColor="text1"/>
        </w:rPr>
        <w:t xml:space="preserve"> (see figure </w:t>
      </w:r>
      <w:r w:rsidR="00821E17" w:rsidRPr="00644F82">
        <w:rPr>
          <w:color w:val="000000" w:themeColor="text1"/>
        </w:rPr>
        <w:t>7</w:t>
      </w:r>
      <w:r w:rsidR="00C313CB" w:rsidRPr="00644F82">
        <w:rPr>
          <w:color w:val="000000" w:themeColor="text1"/>
        </w:rPr>
        <w:t>).</w:t>
      </w:r>
      <w:r w:rsidR="00065B83" w:rsidRPr="00644F82">
        <w:rPr>
          <w:rStyle w:val="FootnoteReference"/>
          <w:color w:val="000000" w:themeColor="text1"/>
        </w:rPr>
        <w:footnoteReference w:id="39"/>
      </w:r>
      <w:r w:rsidR="00CD4571" w:rsidRPr="00644F82">
        <w:rPr>
          <w:color w:val="000000" w:themeColor="text1"/>
        </w:rPr>
        <w:t xml:space="preserve"> </w:t>
      </w:r>
      <w:r w:rsidR="009F4F76" w:rsidRPr="00644F82">
        <w:rPr>
          <w:color w:val="000000" w:themeColor="text1"/>
        </w:rPr>
        <w:t xml:space="preserve">The poster calls on women to join the wartime workforce and depicts </w:t>
      </w:r>
      <w:r w:rsidR="006757C6" w:rsidRPr="00644F82">
        <w:rPr>
          <w:color w:val="000000" w:themeColor="text1"/>
        </w:rPr>
        <w:t>a variety of jobs</w:t>
      </w:r>
      <w:r w:rsidR="009F4F76" w:rsidRPr="00644F82">
        <w:rPr>
          <w:color w:val="000000" w:themeColor="text1"/>
        </w:rPr>
        <w:t xml:space="preserve">. </w:t>
      </w:r>
      <w:r w:rsidR="006757C6" w:rsidRPr="00644F82">
        <w:rPr>
          <w:color w:val="000000" w:themeColor="text1"/>
        </w:rPr>
        <w:t>While it includes traditionally feminine roles such as a waitress and a nurse, the dominant images are industrial:</w:t>
      </w:r>
      <w:r w:rsidR="009F4F76" w:rsidRPr="00644F82">
        <w:rPr>
          <w:color w:val="000000" w:themeColor="text1"/>
        </w:rPr>
        <w:t xml:space="preserve"> </w:t>
      </w:r>
      <w:r w:rsidR="006757C6" w:rsidRPr="00644F82">
        <w:rPr>
          <w:color w:val="000000" w:themeColor="text1"/>
        </w:rPr>
        <w:t>a</w:t>
      </w:r>
      <w:r w:rsidR="009F4F76" w:rsidRPr="00644F82">
        <w:rPr>
          <w:color w:val="000000" w:themeColor="text1"/>
        </w:rPr>
        <w:t xml:space="preserve"> Rosie-esque </w:t>
      </w:r>
      <w:r w:rsidR="006757C6" w:rsidRPr="00644F82">
        <w:rPr>
          <w:color w:val="000000" w:themeColor="text1"/>
        </w:rPr>
        <w:t>figure using a level, another holding long pipes, and a woman repairing a jeep</w:t>
      </w:r>
      <w:r w:rsidR="009F4F76" w:rsidRPr="00644F82">
        <w:rPr>
          <w:color w:val="000000" w:themeColor="text1"/>
        </w:rPr>
        <w:t xml:space="preserve">. </w:t>
      </w:r>
      <w:r w:rsidR="006757C6" w:rsidRPr="00644F82">
        <w:rPr>
          <w:color w:val="000000" w:themeColor="text1"/>
        </w:rPr>
        <w:t>Notably, the women are shown actively building the word ‘women,’ literally defining what women ca</w:t>
      </w:r>
      <w:r w:rsidR="000E4FC3" w:rsidRPr="00644F82">
        <w:rPr>
          <w:color w:val="000000" w:themeColor="text1"/>
        </w:rPr>
        <w:t>n</w:t>
      </w:r>
      <w:r w:rsidR="006757C6" w:rsidRPr="00644F82">
        <w:rPr>
          <w:color w:val="000000" w:themeColor="text1"/>
        </w:rPr>
        <w:t xml:space="preserve"> do in wartime labor. This visual metaphor highlights an expansion of gender roles, as women are presented as competent</w:t>
      </w:r>
      <w:r w:rsidR="005D700D" w:rsidRPr="00644F82">
        <w:rPr>
          <w:color w:val="000000" w:themeColor="text1"/>
        </w:rPr>
        <w:t xml:space="preserve"> and productive </w:t>
      </w:r>
      <w:r w:rsidR="006757C6" w:rsidRPr="00644F82">
        <w:rPr>
          <w:color w:val="000000" w:themeColor="text1"/>
        </w:rPr>
        <w:t>to public, industrial work—spaces previously dominated by men</w:t>
      </w:r>
      <w:r w:rsidR="000E4FC3" w:rsidRPr="00644F82">
        <w:rPr>
          <w:color w:val="000000" w:themeColor="text1"/>
        </w:rPr>
        <w:t>.</w:t>
      </w:r>
      <w:r w:rsidR="006757C6" w:rsidRPr="00644F82">
        <w:rPr>
          <w:color w:val="000000" w:themeColor="text1"/>
        </w:rPr>
        <w:t xml:space="preserve"> However, at the same time, the poster reinforces conventional femininity through blushed cheeks </w:t>
      </w:r>
      <w:r w:rsidR="006757C6" w:rsidRPr="00644F82">
        <w:rPr>
          <w:color w:val="000000" w:themeColor="text1"/>
        </w:rPr>
        <w:lastRenderedPageBreak/>
        <w:t>and fitted clothing, signaling that women could participate in the workforce without abandoning societal expectations of beauty</w:t>
      </w:r>
      <w:r w:rsidR="009F4F76" w:rsidRPr="00644F82">
        <w:rPr>
          <w:color w:val="000000" w:themeColor="text1"/>
        </w:rPr>
        <w:t>.</w:t>
      </w:r>
      <w:r w:rsidR="009F4F76" w:rsidRPr="00644F82">
        <w:rPr>
          <w:rStyle w:val="FootnoteReference"/>
          <w:color w:val="000000" w:themeColor="text1"/>
        </w:rPr>
        <w:footnoteReference w:id="40"/>
      </w:r>
      <w:r w:rsidR="009F4F76" w:rsidRPr="00644F82">
        <w:rPr>
          <w:color w:val="000000" w:themeColor="text1"/>
        </w:rPr>
        <w:t xml:space="preserve"> </w:t>
      </w:r>
      <w:r w:rsidR="006757C6" w:rsidRPr="00644F82">
        <w:rPr>
          <w:color w:val="000000" w:themeColor="text1"/>
        </w:rPr>
        <w:t>The notion of “work to be done” also erases prior domestic labor, showing the persistent undervaluation of unpaid caregiving</w:t>
      </w:r>
      <w:r w:rsidR="00A16048" w:rsidRPr="00644F82">
        <w:rPr>
          <w:color w:val="000000" w:themeColor="text1"/>
        </w:rPr>
        <w:t>.</w:t>
      </w:r>
      <w:r w:rsidR="000C4F0C" w:rsidRPr="00644F82">
        <w:rPr>
          <w:rStyle w:val="FootnoteReference"/>
          <w:color w:val="000000" w:themeColor="text1"/>
        </w:rPr>
        <w:footnoteReference w:id="41"/>
      </w:r>
      <w:r w:rsidR="00A16048" w:rsidRPr="00644F82">
        <w:rPr>
          <w:color w:val="000000" w:themeColor="text1"/>
        </w:rPr>
        <w:t xml:space="preserve"> </w:t>
      </w:r>
      <w:r w:rsidR="006757C6" w:rsidRPr="00644F82">
        <w:rPr>
          <w:color w:val="000000" w:themeColor="text1"/>
        </w:rPr>
        <w:t xml:space="preserve">By portraying women </w:t>
      </w:r>
      <w:r w:rsidR="000E4FC3" w:rsidRPr="00644F82">
        <w:rPr>
          <w:color w:val="000000" w:themeColor="text1"/>
        </w:rPr>
        <w:t>in their industrial roles</w:t>
      </w:r>
      <w:r w:rsidR="008473CA" w:rsidRPr="00644F82">
        <w:rPr>
          <w:color w:val="000000" w:themeColor="text1"/>
        </w:rPr>
        <w:t>, the poster exemplifies the paradox of wartime mobilization: women were encouraged to enter spaces previously dominated by men, demonstrating skill</w:t>
      </w:r>
      <w:r w:rsidR="000E4FC3" w:rsidRPr="00644F82">
        <w:rPr>
          <w:color w:val="000000" w:themeColor="text1"/>
        </w:rPr>
        <w:t xml:space="preserve"> </w:t>
      </w:r>
      <w:r w:rsidR="008473CA" w:rsidRPr="00644F82">
        <w:rPr>
          <w:color w:val="000000" w:themeColor="text1"/>
        </w:rPr>
        <w:t xml:space="preserve">and collective strength, yet these expansions of gender roles were still framed within conventional ideals of femininity and disregarded women’s domestic role. This dual messaging, empowering women while upholding and reinforcing traditional gender expectations, illustrates the careful balancing act of recruitment campaigns and reveals how they were accepted in American society. </w:t>
      </w:r>
    </w:p>
    <w:p w14:paraId="4031111D" w14:textId="3551BC6C" w:rsidR="00821E17" w:rsidRPr="00644F82" w:rsidRDefault="00821E17" w:rsidP="00F6138B">
      <w:pPr>
        <w:spacing w:line="480" w:lineRule="auto"/>
        <w:rPr>
          <w:color w:val="000000" w:themeColor="text1"/>
        </w:rPr>
      </w:pPr>
      <w:r w:rsidRPr="00644F82">
        <w:rPr>
          <w:color w:val="000000" w:themeColor="text1"/>
        </w:rPr>
        <w:tab/>
        <w:t xml:space="preserve">To fully understand the gendered nature of these mobilization efforts, it also essential to consider how men were portrayed. While most World War II propaganda aimed at men </w:t>
      </w:r>
      <w:r w:rsidR="005F1C40" w:rsidRPr="00644F82">
        <w:rPr>
          <w:color w:val="000000" w:themeColor="text1"/>
        </w:rPr>
        <w:t>encouraged enlistment</w:t>
      </w:r>
      <w:r w:rsidRPr="00644F82">
        <w:rPr>
          <w:color w:val="000000" w:themeColor="text1"/>
        </w:rPr>
        <w:t>, Fred L. Packer</w:t>
      </w:r>
      <w:r w:rsidR="005F1C40" w:rsidRPr="00644F82">
        <w:rPr>
          <w:color w:val="000000" w:themeColor="text1"/>
        </w:rPr>
        <w:t xml:space="preserve">’s 1942 poster </w:t>
      </w:r>
      <w:r w:rsidRPr="00644F82">
        <w:rPr>
          <w:color w:val="000000" w:themeColor="text1"/>
        </w:rPr>
        <w:t xml:space="preserve">for the Office of Emergency Management and the War Production Board </w:t>
      </w:r>
      <w:r w:rsidR="00F80B60" w:rsidRPr="00644F82">
        <w:rPr>
          <w:color w:val="000000" w:themeColor="text1"/>
        </w:rPr>
        <w:t xml:space="preserve">offers insight into mobilization efforts </w:t>
      </w:r>
      <w:r w:rsidR="009F5FDF" w:rsidRPr="00644F82">
        <w:rPr>
          <w:color w:val="000000" w:themeColor="text1"/>
        </w:rPr>
        <w:t>targeting men for the industrial sector</w:t>
      </w:r>
      <w:r w:rsidR="006D5EDD">
        <w:rPr>
          <w:color w:val="000000" w:themeColor="text1"/>
        </w:rPr>
        <w:t xml:space="preserve"> (see figure </w:t>
      </w:r>
      <w:r w:rsidR="007648F1">
        <w:rPr>
          <w:color w:val="000000" w:themeColor="text1"/>
        </w:rPr>
        <w:t>8</w:t>
      </w:r>
      <w:r w:rsidR="006D5EDD">
        <w:rPr>
          <w:color w:val="000000" w:themeColor="text1"/>
        </w:rPr>
        <w:t>)</w:t>
      </w:r>
      <w:r w:rsidRPr="00644F82">
        <w:rPr>
          <w:color w:val="000000" w:themeColor="text1"/>
        </w:rPr>
        <w:t xml:space="preserve">. </w:t>
      </w:r>
      <w:r w:rsidR="00F80B60" w:rsidRPr="00644F82">
        <w:rPr>
          <w:color w:val="000000" w:themeColor="text1"/>
        </w:rPr>
        <w:t>The image depicts</w:t>
      </w:r>
      <w:r w:rsidR="005F1C40" w:rsidRPr="00644F82">
        <w:rPr>
          <w:color w:val="000000" w:themeColor="text1"/>
        </w:rPr>
        <w:t xml:space="preserve"> a four</w:t>
      </w:r>
      <w:r w:rsidR="00F80B60" w:rsidRPr="00644F82">
        <w:rPr>
          <w:color w:val="000000" w:themeColor="text1"/>
        </w:rPr>
        <w:t>-</w:t>
      </w:r>
      <w:r w:rsidR="005F1C40" w:rsidRPr="00644F82">
        <w:rPr>
          <w:color w:val="000000" w:themeColor="text1"/>
        </w:rPr>
        <w:t>star general shaking hands with an industrial worker</w:t>
      </w:r>
      <w:r w:rsidR="009F5FDF" w:rsidRPr="00644F82">
        <w:rPr>
          <w:color w:val="000000" w:themeColor="text1"/>
        </w:rPr>
        <w:t xml:space="preserve"> </w:t>
      </w:r>
      <w:r w:rsidR="005F1C40" w:rsidRPr="00644F82">
        <w:rPr>
          <w:color w:val="000000" w:themeColor="text1"/>
        </w:rPr>
        <w:t xml:space="preserve">as the general </w:t>
      </w:r>
      <w:r w:rsidR="009F5FDF" w:rsidRPr="00644F82">
        <w:rPr>
          <w:color w:val="000000" w:themeColor="text1"/>
        </w:rPr>
        <w:t>declares</w:t>
      </w:r>
      <w:r w:rsidR="005F1C40" w:rsidRPr="00644F82">
        <w:rPr>
          <w:color w:val="000000" w:themeColor="text1"/>
        </w:rPr>
        <w:t>, “‘We’re Depending on You!”</w:t>
      </w:r>
      <w:r w:rsidR="009F5FDF" w:rsidRPr="00644F82">
        <w:rPr>
          <w:rStyle w:val="FootnoteReference"/>
          <w:color w:val="000000" w:themeColor="text1"/>
        </w:rPr>
        <w:t xml:space="preserve"> </w:t>
      </w:r>
      <w:r w:rsidR="009F5FDF" w:rsidRPr="00644F82">
        <w:rPr>
          <w:rStyle w:val="FootnoteReference"/>
          <w:color w:val="000000" w:themeColor="text1"/>
        </w:rPr>
        <w:footnoteReference w:id="42"/>
      </w:r>
      <w:r w:rsidR="005F1C40" w:rsidRPr="00644F82">
        <w:rPr>
          <w:color w:val="000000" w:themeColor="text1"/>
        </w:rPr>
        <w:t xml:space="preserve"> </w:t>
      </w:r>
      <w:r w:rsidR="00F247C9" w:rsidRPr="00644F82">
        <w:rPr>
          <w:color w:val="000000" w:themeColor="text1"/>
        </w:rPr>
        <w:t xml:space="preserve">The general stands slightly taller than the worker and places his hand on the worker’s shoulder, a gesture that signals a </w:t>
      </w:r>
      <w:r w:rsidR="00724CD2" w:rsidRPr="00644F82">
        <w:rPr>
          <w:color w:val="000000" w:themeColor="text1"/>
        </w:rPr>
        <w:t>hierarchy</w:t>
      </w:r>
      <w:r w:rsidR="00F247C9" w:rsidRPr="00644F82">
        <w:rPr>
          <w:color w:val="000000" w:themeColor="text1"/>
        </w:rPr>
        <w:t xml:space="preserve"> without </w:t>
      </w:r>
      <w:r w:rsidR="00724CD2" w:rsidRPr="00644F82">
        <w:rPr>
          <w:color w:val="000000" w:themeColor="text1"/>
        </w:rPr>
        <w:t>threatening</w:t>
      </w:r>
      <w:r w:rsidR="00F247C9" w:rsidRPr="00644F82">
        <w:rPr>
          <w:color w:val="000000" w:themeColor="text1"/>
        </w:rPr>
        <w:t xml:space="preserve"> the worker’s masculinity. </w:t>
      </w:r>
      <w:r w:rsidR="00E0093C" w:rsidRPr="00644F82">
        <w:rPr>
          <w:color w:val="000000" w:themeColor="text1"/>
        </w:rPr>
        <w:t xml:space="preserve">Crucially, the poster </w:t>
      </w:r>
      <w:r w:rsidR="00724CD2" w:rsidRPr="00644F82">
        <w:rPr>
          <w:color w:val="000000" w:themeColor="text1"/>
        </w:rPr>
        <w:t>assumes</w:t>
      </w:r>
      <w:r w:rsidR="00E0093C" w:rsidRPr="00644F82">
        <w:rPr>
          <w:color w:val="000000" w:themeColor="text1"/>
        </w:rPr>
        <w:t xml:space="preserve"> that industrial work </w:t>
      </w:r>
      <w:r w:rsidR="00724CD2" w:rsidRPr="00644F82">
        <w:rPr>
          <w:color w:val="000000" w:themeColor="text1"/>
        </w:rPr>
        <w:t>is</w:t>
      </w:r>
      <w:r w:rsidR="00E0093C" w:rsidRPr="00644F82">
        <w:rPr>
          <w:color w:val="000000" w:themeColor="text1"/>
        </w:rPr>
        <w:t xml:space="preserve"> already</w:t>
      </w:r>
      <w:r w:rsidR="00724CD2" w:rsidRPr="00644F82">
        <w:rPr>
          <w:color w:val="000000" w:themeColor="text1"/>
        </w:rPr>
        <w:t xml:space="preserve"> inherently</w:t>
      </w:r>
      <w:r w:rsidR="00E0093C" w:rsidRPr="00644F82">
        <w:rPr>
          <w:color w:val="000000" w:themeColor="text1"/>
        </w:rPr>
        <w:t xml:space="preserve"> understood to be </w:t>
      </w:r>
      <w:r w:rsidR="00724CD2" w:rsidRPr="00644F82">
        <w:rPr>
          <w:color w:val="000000" w:themeColor="text1"/>
        </w:rPr>
        <w:t>masculine, and therefore requires no visual cues to affirm the worker’s gender role</w:t>
      </w:r>
      <w:r w:rsidR="00E0093C" w:rsidRPr="00644F82">
        <w:rPr>
          <w:color w:val="000000" w:themeColor="text1"/>
        </w:rPr>
        <w:t xml:space="preserve">. Unlike posters directed at women, which had to balance depictions of wartime participation with markers of femininity, Packer’s industrial worker is not </w:t>
      </w:r>
      <w:r w:rsidR="00724CD2" w:rsidRPr="00644F82">
        <w:rPr>
          <w:color w:val="000000" w:themeColor="text1"/>
        </w:rPr>
        <w:lastRenderedPageBreak/>
        <w:t>adorned</w:t>
      </w:r>
      <w:r w:rsidR="00E0093C" w:rsidRPr="00644F82">
        <w:rPr>
          <w:color w:val="000000" w:themeColor="text1"/>
        </w:rPr>
        <w:t xml:space="preserve"> with symbols of masculinity. </w:t>
      </w:r>
      <w:r w:rsidR="00724CD2" w:rsidRPr="00644F82">
        <w:rPr>
          <w:color w:val="000000" w:themeColor="text1"/>
        </w:rPr>
        <w:t>His presence in the factory does not need justification, the poster merely needs to motivate him through appeals such as “</w:t>
      </w:r>
      <w:r w:rsidR="009F5FDF" w:rsidRPr="00644F82">
        <w:rPr>
          <w:color w:val="000000" w:themeColor="text1"/>
        </w:rPr>
        <w:t>We’re Depending on You!” and “</w:t>
      </w:r>
      <w:r w:rsidR="00724CD2" w:rsidRPr="00644F82">
        <w:rPr>
          <w:color w:val="000000" w:themeColor="text1"/>
        </w:rPr>
        <w:t>P</w:t>
      </w:r>
      <w:r w:rsidR="009F5FDF" w:rsidRPr="00644F82">
        <w:rPr>
          <w:color w:val="000000" w:themeColor="text1"/>
        </w:rPr>
        <w:t xml:space="preserve">roduce to </w:t>
      </w:r>
      <w:r w:rsidR="00724CD2" w:rsidRPr="00644F82">
        <w:rPr>
          <w:color w:val="000000" w:themeColor="text1"/>
        </w:rPr>
        <w:t>W</w:t>
      </w:r>
      <w:r w:rsidR="009F5FDF" w:rsidRPr="00644F82">
        <w:rPr>
          <w:color w:val="000000" w:themeColor="text1"/>
        </w:rPr>
        <w:t>in</w:t>
      </w:r>
      <w:r w:rsidR="00E0093C" w:rsidRPr="00644F82">
        <w:rPr>
          <w:color w:val="000000" w:themeColor="text1"/>
        </w:rPr>
        <w:t>.</w:t>
      </w:r>
      <w:r w:rsidR="009F5FDF" w:rsidRPr="00644F82">
        <w:rPr>
          <w:color w:val="000000" w:themeColor="text1"/>
        </w:rPr>
        <w:t>”</w:t>
      </w:r>
      <w:r w:rsidR="00E0093C" w:rsidRPr="00644F82">
        <w:rPr>
          <w:rStyle w:val="FootnoteReference"/>
          <w:color w:val="000000" w:themeColor="text1"/>
        </w:rPr>
        <w:footnoteReference w:id="43"/>
      </w:r>
      <w:r w:rsidR="00E0093C" w:rsidRPr="00644F82">
        <w:rPr>
          <w:color w:val="000000" w:themeColor="text1"/>
        </w:rPr>
        <w:t xml:space="preserve"> </w:t>
      </w:r>
      <w:r w:rsidR="00724CD2" w:rsidRPr="00644F82">
        <w:rPr>
          <w:color w:val="000000" w:themeColor="text1"/>
        </w:rPr>
        <w:t xml:space="preserve">Furthermore, this portrayal establishes that men had multiple accepted avenues of service, whether as servicemen or industrial workers, </w:t>
      </w:r>
      <w:r w:rsidR="000A213B" w:rsidRPr="00644F82">
        <w:rPr>
          <w:color w:val="000000" w:themeColor="text1"/>
        </w:rPr>
        <w:t>and were</w:t>
      </w:r>
      <w:r w:rsidR="00724CD2" w:rsidRPr="00644F82">
        <w:rPr>
          <w:color w:val="000000" w:themeColor="text1"/>
        </w:rPr>
        <w:t xml:space="preserve"> framed as natural extensions of their role as providers. </w:t>
      </w:r>
      <w:r w:rsidR="00D764C2" w:rsidRPr="00644F82">
        <w:rPr>
          <w:color w:val="000000" w:themeColor="text1"/>
        </w:rPr>
        <w:t>The</w:t>
      </w:r>
      <w:r w:rsidR="00724CD2" w:rsidRPr="00644F82">
        <w:rPr>
          <w:color w:val="000000" w:themeColor="text1"/>
        </w:rPr>
        <w:t xml:space="preserve"> absence of gendered empowerment underscores how male wage-earning labor was treated as expected while women’s wage-earning labor </w:t>
      </w:r>
      <w:r w:rsidR="00394E32" w:rsidRPr="00644F82">
        <w:rPr>
          <w:color w:val="000000" w:themeColor="text1"/>
        </w:rPr>
        <w:t>was questioned and therefore had</w:t>
      </w:r>
      <w:r w:rsidR="00724CD2" w:rsidRPr="00644F82">
        <w:rPr>
          <w:color w:val="000000" w:themeColor="text1"/>
        </w:rPr>
        <w:t xml:space="preserve"> to be carefully framed</w:t>
      </w:r>
      <w:r w:rsidR="00D764C2" w:rsidRPr="00644F82">
        <w:rPr>
          <w:color w:val="000000" w:themeColor="text1"/>
        </w:rPr>
        <w:t xml:space="preserve">. By comparing </w:t>
      </w:r>
      <w:r w:rsidR="00394E32" w:rsidRPr="00644F82">
        <w:rPr>
          <w:color w:val="000000" w:themeColor="text1"/>
        </w:rPr>
        <w:t>posters aimed at mobilizing women with those aimed at men, we can see how campaigns encouraged female participation in the wartime, wage-earning, workforce while simultaneously reinforcing traditional notions of domesticity and femininity</w:t>
      </w:r>
      <w:r w:rsidR="00724CD2" w:rsidRPr="00644F82">
        <w:rPr>
          <w:color w:val="000000" w:themeColor="text1"/>
        </w:rPr>
        <w:t>.</w:t>
      </w:r>
      <w:r w:rsidR="00D764C2" w:rsidRPr="00644F82">
        <w:rPr>
          <w:color w:val="000000" w:themeColor="text1"/>
        </w:rPr>
        <w:t xml:space="preserve"> </w:t>
      </w:r>
    </w:p>
    <w:p w14:paraId="5A13DDE4" w14:textId="4A823340" w:rsidR="00153E84" w:rsidRPr="00644F82" w:rsidRDefault="00696747" w:rsidP="00F6138B">
      <w:pPr>
        <w:spacing w:line="480" w:lineRule="auto"/>
        <w:rPr>
          <w:b/>
          <w:bCs/>
          <w:color w:val="000000" w:themeColor="text1"/>
        </w:rPr>
      </w:pPr>
      <w:r w:rsidRPr="00644F82">
        <w:rPr>
          <w:b/>
          <w:bCs/>
          <w:color w:val="000000" w:themeColor="text1"/>
        </w:rPr>
        <w:t>Did They Do It?: The Effectiveness of American Mobilization Campaigns</w:t>
      </w:r>
    </w:p>
    <w:p w14:paraId="7470F56E" w14:textId="4D6DF804" w:rsidR="00696747" w:rsidRPr="00644F82" w:rsidRDefault="00696747" w:rsidP="00F6138B">
      <w:pPr>
        <w:spacing w:line="480" w:lineRule="auto"/>
        <w:rPr>
          <w:color w:val="000000" w:themeColor="text1"/>
        </w:rPr>
      </w:pPr>
      <w:r w:rsidRPr="00644F82">
        <w:rPr>
          <w:color w:val="000000" w:themeColor="text1"/>
        </w:rPr>
        <w:tab/>
      </w:r>
      <w:r w:rsidR="00520718" w:rsidRPr="00644F82">
        <w:rPr>
          <w:color w:val="000000" w:themeColor="text1"/>
        </w:rPr>
        <w:t>What was the actual impact of these mobilization efforts? Drawing on data about female employment during the war, as well as commentary from newspaper articles, the following section will examine the effectiveness of these recruitment campaigns</w:t>
      </w:r>
      <w:r w:rsidR="00DB4766" w:rsidRPr="00644F82">
        <w:rPr>
          <w:color w:val="000000" w:themeColor="text1"/>
        </w:rPr>
        <w:t xml:space="preserve">. </w:t>
      </w:r>
      <w:r w:rsidR="00C75D6D" w:rsidRPr="00644F82">
        <w:rPr>
          <w:color w:val="000000" w:themeColor="text1"/>
        </w:rPr>
        <w:t xml:space="preserve"> </w:t>
      </w:r>
    </w:p>
    <w:p w14:paraId="2053361A" w14:textId="33EE47B0" w:rsidR="008B44A8" w:rsidRPr="00644F82" w:rsidRDefault="008B44A8" w:rsidP="00F6138B">
      <w:pPr>
        <w:spacing w:line="480" w:lineRule="auto"/>
        <w:rPr>
          <w:color w:val="000000" w:themeColor="text1"/>
        </w:rPr>
      </w:pPr>
      <w:r w:rsidRPr="00644F82">
        <w:rPr>
          <w:color w:val="000000" w:themeColor="text1"/>
        </w:rPr>
        <w:tab/>
      </w:r>
      <w:r w:rsidR="0037447E" w:rsidRPr="00644F82">
        <w:rPr>
          <w:color w:val="000000" w:themeColor="text1"/>
        </w:rPr>
        <w:t>The labor force changed dramatically during the 1940s, especially for women. In 1940, nearly 14 million women worked in the labor force</w:t>
      </w:r>
      <w:r w:rsidR="009F4F76" w:rsidRPr="00644F82">
        <w:rPr>
          <w:color w:val="000000" w:themeColor="text1"/>
        </w:rPr>
        <w:t>,</w:t>
      </w:r>
      <w:r w:rsidR="00D80A32" w:rsidRPr="00644F82">
        <w:rPr>
          <w:color w:val="000000" w:themeColor="text1"/>
        </w:rPr>
        <w:t xml:space="preserve"> and this increased by</w:t>
      </w:r>
      <w:r w:rsidR="0037447E" w:rsidRPr="00644F82">
        <w:rPr>
          <w:color w:val="000000" w:themeColor="text1"/>
        </w:rPr>
        <w:t xml:space="preserve"> more than 7 million during the wartime years.</w:t>
      </w:r>
      <w:r w:rsidR="0037447E" w:rsidRPr="00644F82">
        <w:rPr>
          <w:rStyle w:val="FootnoteReference"/>
          <w:color w:val="000000" w:themeColor="text1"/>
        </w:rPr>
        <w:footnoteReference w:id="44"/>
      </w:r>
      <w:r w:rsidR="00D80A32" w:rsidRPr="00644F82">
        <w:rPr>
          <w:color w:val="000000" w:themeColor="text1"/>
        </w:rPr>
        <w:t xml:space="preserve"> Roughly 20 million participated in the labor force at one time or another, and the increases in specific sectors </w:t>
      </w:r>
      <w:r w:rsidR="009F4F76" w:rsidRPr="00644F82">
        <w:rPr>
          <w:color w:val="000000" w:themeColor="text1"/>
        </w:rPr>
        <w:t>were</w:t>
      </w:r>
      <w:r w:rsidR="00D80A32" w:rsidRPr="00644F82">
        <w:rPr>
          <w:color w:val="000000" w:themeColor="text1"/>
        </w:rPr>
        <w:t xml:space="preserve"> even more remarkable. By 1945, 4.5 million women were serving as factory operatives</w:t>
      </w:r>
      <w:r w:rsidR="00C048C8" w:rsidRPr="00644F82">
        <w:rPr>
          <w:color w:val="000000" w:themeColor="text1"/>
        </w:rPr>
        <w:t>—</w:t>
      </w:r>
      <w:r w:rsidR="00D80A32" w:rsidRPr="00644F82">
        <w:rPr>
          <w:color w:val="000000" w:themeColor="text1"/>
        </w:rPr>
        <w:t>an increase of nearly 112%</w:t>
      </w:r>
      <w:r w:rsidR="00C048C8" w:rsidRPr="00644F82">
        <w:rPr>
          <w:color w:val="000000" w:themeColor="text1"/>
        </w:rPr>
        <w:t>—</w:t>
      </w:r>
      <w:r w:rsidR="00D80A32" w:rsidRPr="00644F82">
        <w:rPr>
          <w:color w:val="000000" w:themeColor="text1"/>
        </w:rPr>
        <w:t>and the number of female production workers skyrocketed from 340,000 in 1940 to 2,174,000 in 1943</w:t>
      </w:r>
      <w:r w:rsidR="00C048C8" w:rsidRPr="00644F82">
        <w:rPr>
          <w:color w:val="000000" w:themeColor="text1"/>
        </w:rPr>
        <w:t>—</w:t>
      </w:r>
      <w:r w:rsidR="00D80A32" w:rsidRPr="00644F82">
        <w:rPr>
          <w:color w:val="000000" w:themeColor="text1"/>
        </w:rPr>
        <w:t>an increase of nearly 540%.</w:t>
      </w:r>
      <w:r w:rsidR="00D80A32" w:rsidRPr="00644F82">
        <w:rPr>
          <w:rStyle w:val="FootnoteReference"/>
          <w:color w:val="000000" w:themeColor="text1"/>
        </w:rPr>
        <w:footnoteReference w:id="45"/>
      </w:r>
      <w:r w:rsidR="00033E88" w:rsidRPr="00644F82">
        <w:rPr>
          <w:color w:val="000000" w:themeColor="text1"/>
        </w:rPr>
        <w:t xml:space="preserve"> </w:t>
      </w:r>
      <w:r w:rsidR="00B06191" w:rsidRPr="00644F82">
        <w:rPr>
          <w:color w:val="000000" w:themeColor="text1"/>
        </w:rPr>
        <w:t xml:space="preserve">Moreover, at the height of the war production in 1944, nearly one in three </w:t>
      </w:r>
      <w:r w:rsidR="00B06191" w:rsidRPr="00644F82">
        <w:rPr>
          <w:color w:val="000000" w:themeColor="text1"/>
        </w:rPr>
        <w:lastRenderedPageBreak/>
        <w:t>female defense workers was a former full-time homemaker.</w:t>
      </w:r>
      <w:r w:rsidR="00B06191" w:rsidRPr="00644F82">
        <w:rPr>
          <w:rStyle w:val="FootnoteReference"/>
          <w:color w:val="000000" w:themeColor="text1"/>
        </w:rPr>
        <w:footnoteReference w:id="46"/>
      </w:r>
      <w:r w:rsidR="00B06191" w:rsidRPr="00644F82">
        <w:rPr>
          <w:color w:val="000000" w:themeColor="text1"/>
        </w:rPr>
        <w:t xml:space="preserve"> </w:t>
      </w:r>
      <w:r w:rsidR="009F4F76" w:rsidRPr="00644F82">
        <w:rPr>
          <w:color w:val="000000" w:themeColor="text1"/>
        </w:rPr>
        <w:t>Women entered the wartime workforce in large numbers, demonstrating the impact of these mobilization campaigns. Though it is difficult to estimate the number of women who saw these war posters and subsequently joined the workforce, the increase in the female labor force suggests that the posters played some role, whether small or large</w:t>
      </w:r>
      <w:r w:rsidR="00DB4766" w:rsidRPr="00644F82">
        <w:rPr>
          <w:color w:val="000000" w:themeColor="text1"/>
        </w:rPr>
        <w:t xml:space="preserve">. </w:t>
      </w:r>
    </w:p>
    <w:p w14:paraId="0D7527FD" w14:textId="2E205FF2" w:rsidR="00E8117F" w:rsidRPr="00644F82" w:rsidRDefault="00DB4766" w:rsidP="00F6138B">
      <w:pPr>
        <w:spacing w:line="480" w:lineRule="auto"/>
        <w:rPr>
          <w:color w:val="000000" w:themeColor="text1"/>
        </w:rPr>
      </w:pPr>
      <w:r w:rsidRPr="00644F82">
        <w:rPr>
          <w:color w:val="000000" w:themeColor="text1"/>
        </w:rPr>
        <w:tab/>
        <w:t xml:space="preserve">While the numbers attest to women’s growing participation in the wartime workforce, newspaper commentary offers deeper insight into how this shift was publicly interpreted. </w:t>
      </w:r>
      <w:r w:rsidR="009923C9" w:rsidRPr="00644F82">
        <w:rPr>
          <w:color w:val="000000" w:themeColor="text1"/>
        </w:rPr>
        <w:t xml:space="preserve">In February 1943, </w:t>
      </w:r>
      <w:r w:rsidR="009923C9" w:rsidRPr="00644F82">
        <w:rPr>
          <w:i/>
          <w:iCs/>
          <w:color w:val="000000" w:themeColor="text1"/>
        </w:rPr>
        <w:t xml:space="preserve">The Saturday Evening Post </w:t>
      </w:r>
      <w:r w:rsidR="009923C9" w:rsidRPr="00644F82">
        <w:rPr>
          <w:color w:val="000000" w:themeColor="text1"/>
        </w:rPr>
        <w:t>published “Watch Out for the Women” by Harold L. Ickes</w:t>
      </w:r>
      <w:r w:rsidR="006A6678" w:rsidRPr="00644F82">
        <w:rPr>
          <w:color w:val="000000" w:themeColor="text1"/>
        </w:rPr>
        <w:t>, President Franklin D. Roosevelt’s Secretary for the Interior</w:t>
      </w:r>
      <w:r w:rsidR="009923C9" w:rsidRPr="00644F82">
        <w:rPr>
          <w:color w:val="000000" w:themeColor="text1"/>
        </w:rPr>
        <w:t xml:space="preserve">. In the article, Ickes suggests a shift in gender roles </w:t>
      </w:r>
      <w:r w:rsidR="009F4F76" w:rsidRPr="00644F82">
        <w:rPr>
          <w:color w:val="000000" w:themeColor="text1"/>
        </w:rPr>
        <w:t>resulting from</w:t>
      </w:r>
      <w:r w:rsidR="009923C9" w:rsidRPr="00644F82">
        <w:rPr>
          <w:color w:val="000000" w:themeColor="text1"/>
        </w:rPr>
        <w:t xml:space="preserve"> women’s participation in wartime jobs. Ickes lists the sacrifices women have made during the war, including the “hard manual labor that no one ever thought that she could do.”</w:t>
      </w:r>
      <w:r w:rsidR="009923C9" w:rsidRPr="00644F82">
        <w:rPr>
          <w:rStyle w:val="FootnoteReference"/>
          <w:color w:val="000000" w:themeColor="text1"/>
        </w:rPr>
        <w:footnoteReference w:id="47"/>
      </w:r>
      <w:r w:rsidR="00E8117F" w:rsidRPr="00644F82">
        <w:rPr>
          <w:color w:val="000000" w:themeColor="text1"/>
        </w:rPr>
        <w:t xml:space="preserve"> He even goes as far as to warn men about this newfound competition in the job market because women have</w:t>
      </w:r>
      <w:r w:rsidR="000E4FC3" w:rsidRPr="00644F82">
        <w:rPr>
          <w:color w:val="000000" w:themeColor="text1"/>
        </w:rPr>
        <w:t>,</w:t>
      </w:r>
      <w:r w:rsidR="00E8117F" w:rsidRPr="00644F82">
        <w:rPr>
          <w:color w:val="000000" w:themeColor="text1"/>
        </w:rPr>
        <w:t xml:space="preserve"> </w:t>
      </w:r>
      <w:r w:rsidR="009C6FC4" w:rsidRPr="00644F82">
        <w:rPr>
          <w:color w:val="000000" w:themeColor="text1"/>
        </w:rPr>
        <w:t>wage earning</w:t>
      </w:r>
      <w:r w:rsidR="000E4FC3" w:rsidRPr="00644F82">
        <w:rPr>
          <w:color w:val="000000" w:themeColor="text1"/>
        </w:rPr>
        <w:t>,</w:t>
      </w:r>
      <w:r w:rsidR="009C6FC4" w:rsidRPr="00644F82">
        <w:rPr>
          <w:color w:val="000000" w:themeColor="text1"/>
        </w:rPr>
        <w:t xml:space="preserve"> war</w:t>
      </w:r>
      <w:r w:rsidR="00E8117F" w:rsidRPr="00644F82">
        <w:rPr>
          <w:color w:val="000000" w:themeColor="text1"/>
        </w:rPr>
        <w:t xml:space="preserve"> jobs</w:t>
      </w:r>
      <w:r w:rsidR="009C6FC4" w:rsidRPr="00644F82">
        <w:rPr>
          <w:color w:val="000000" w:themeColor="text1"/>
        </w:rPr>
        <w:t xml:space="preserve"> in higher numbers</w:t>
      </w:r>
      <w:r w:rsidR="00E8117F" w:rsidRPr="00644F82">
        <w:rPr>
          <w:color w:val="000000" w:themeColor="text1"/>
        </w:rPr>
        <w:t>, writing</w:t>
      </w:r>
      <w:r w:rsidR="009F4F76" w:rsidRPr="00644F82">
        <w:rPr>
          <w:color w:val="000000" w:themeColor="text1"/>
        </w:rPr>
        <w:t xml:space="preserve">, </w:t>
      </w:r>
      <w:r w:rsidR="00E8117F" w:rsidRPr="00644F82">
        <w:rPr>
          <w:color w:val="000000" w:themeColor="text1"/>
        </w:rPr>
        <w:t>“he is now going to have to learn that the war has made her more than ever his equal.”</w:t>
      </w:r>
      <w:r w:rsidR="00465EB7" w:rsidRPr="00644F82">
        <w:rPr>
          <w:rStyle w:val="FootnoteReference"/>
          <w:color w:val="000000" w:themeColor="text1"/>
        </w:rPr>
        <w:footnoteReference w:id="48"/>
      </w:r>
      <w:r w:rsidR="00E8117F" w:rsidRPr="00644F82">
        <w:rPr>
          <w:color w:val="000000" w:themeColor="text1"/>
        </w:rPr>
        <w:t xml:space="preserve"> </w:t>
      </w:r>
      <w:r w:rsidR="009F4F76" w:rsidRPr="00644F82">
        <w:rPr>
          <w:color w:val="000000" w:themeColor="text1"/>
        </w:rPr>
        <w:t xml:space="preserve">Ickes' perspective on female participation in the war effort shows that Americans were impressed by women's capabilities, </w:t>
      </w:r>
      <w:r w:rsidR="002E1584" w:rsidRPr="00644F82">
        <w:rPr>
          <w:color w:val="000000" w:themeColor="text1"/>
        </w:rPr>
        <w:t>to the point that some believed it could spark competition between genders</w:t>
      </w:r>
      <w:r w:rsidR="009F4F76" w:rsidRPr="00644F82">
        <w:rPr>
          <w:color w:val="000000" w:themeColor="text1"/>
        </w:rPr>
        <w:t>. Importantly,</w:t>
      </w:r>
      <w:r w:rsidR="002E1584" w:rsidRPr="00644F82">
        <w:rPr>
          <w:color w:val="000000" w:themeColor="text1"/>
        </w:rPr>
        <w:t xml:space="preserve"> Ickes’ analysis reveals that many Americans recognized a potential shift in gender roles, as women successfully managed demanding wage-earning war jobs. This commentary illustrates that the wartime mobilization of women had social as well as economic effects, challenging traditional expectations of women’s work and signaling the potential for broader changes in societal attitudes and the gender hierarchy</w:t>
      </w:r>
      <w:r w:rsidR="00E8117F" w:rsidRPr="00644F82">
        <w:rPr>
          <w:color w:val="000000" w:themeColor="text1"/>
        </w:rPr>
        <w:t xml:space="preserve">. </w:t>
      </w:r>
    </w:p>
    <w:p w14:paraId="24802C73" w14:textId="2EB38C35" w:rsidR="00E8117F" w:rsidRPr="00644F82" w:rsidRDefault="00E8117F" w:rsidP="00F6138B">
      <w:pPr>
        <w:spacing w:line="480" w:lineRule="auto"/>
        <w:rPr>
          <w:color w:val="000000" w:themeColor="text1"/>
        </w:rPr>
      </w:pPr>
      <w:r w:rsidRPr="00644F82">
        <w:rPr>
          <w:color w:val="000000" w:themeColor="text1"/>
        </w:rPr>
        <w:lastRenderedPageBreak/>
        <w:tab/>
        <w:t xml:space="preserve">Another </w:t>
      </w:r>
      <w:r w:rsidR="00005CEF" w:rsidRPr="00644F82">
        <w:rPr>
          <w:i/>
          <w:iCs/>
          <w:color w:val="000000" w:themeColor="text1"/>
        </w:rPr>
        <w:t>Saturday Evening Post</w:t>
      </w:r>
      <w:r w:rsidR="00005CEF" w:rsidRPr="00644F82">
        <w:rPr>
          <w:color w:val="000000" w:themeColor="text1"/>
        </w:rPr>
        <w:t xml:space="preserve"> article</w:t>
      </w:r>
      <w:r w:rsidRPr="00644F82">
        <w:rPr>
          <w:color w:val="000000" w:themeColor="text1"/>
        </w:rPr>
        <w:t xml:space="preserve"> more directly </w:t>
      </w:r>
      <w:r w:rsidR="009C6FC4" w:rsidRPr="00644F82">
        <w:rPr>
          <w:color w:val="000000" w:themeColor="text1"/>
        </w:rPr>
        <w:t>comments on</w:t>
      </w:r>
      <w:r w:rsidRPr="00644F82">
        <w:rPr>
          <w:color w:val="000000" w:themeColor="text1"/>
        </w:rPr>
        <w:t xml:space="preserve"> the impact of female mobilization efforts. </w:t>
      </w:r>
      <w:r w:rsidR="00005CEF" w:rsidRPr="00644F82">
        <w:rPr>
          <w:color w:val="000000" w:themeColor="text1"/>
        </w:rPr>
        <w:t xml:space="preserve">In August 1943, “Mr. Rosie” </w:t>
      </w:r>
      <w:r w:rsidR="00B0057C" w:rsidRPr="00644F82">
        <w:rPr>
          <w:color w:val="000000" w:themeColor="text1"/>
        </w:rPr>
        <w:t>shares</w:t>
      </w:r>
      <w:r w:rsidR="00005CEF" w:rsidRPr="00644F82">
        <w:rPr>
          <w:color w:val="000000" w:themeColor="text1"/>
        </w:rPr>
        <w:t xml:space="preserve"> that “ladies were taking over industry, transportation, and agriculture…” concluding that “if [America] [were] going to be ruled someday by a </w:t>
      </w:r>
      <w:r w:rsidR="00442805" w:rsidRPr="00644F82">
        <w:rPr>
          <w:color w:val="000000" w:themeColor="text1"/>
        </w:rPr>
        <w:t>dictatorial</w:t>
      </w:r>
      <w:r w:rsidR="00005CEF" w:rsidRPr="00644F82">
        <w:rPr>
          <w:color w:val="000000" w:themeColor="text1"/>
        </w:rPr>
        <w:t xml:space="preserve"> lady—an Aunt </w:t>
      </w:r>
      <w:r w:rsidR="00442805" w:rsidRPr="00644F82">
        <w:rPr>
          <w:color w:val="000000" w:themeColor="text1"/>
        </w:rPr>
        <w:t>Josephine</w:t>
      </w:r>
      <w:r w:rsidR="00005CEF" w:rsidRPr="00644F82">
        <w:rPr>
          <w:color w:val="000000" w:themeColor="text1"/>
        </w:rPr>
        <w:t xml:space="preserve"> Stalin, say—there’s probably nothing we [men] can do about it.”</w:t>
      </w:r>
      <w:r w:rsidR="00005CEF" w:rsidRPr="00644F82">
        <w:rPr>
          <w:rStyle w:val="FootnoteReference"/>
          <w:color w:val="000000" w:themeColor="text1"/>
        </w:rPr>
        <w:footnoteReference w:id="49"/>
      </w:r>
      <w:r w:rsidR="00442805" w:rsidRPr="00644F82">
        <w:rPr>
          <w:color w:val="000000" w:themeColor="text1"/>
        </w:rPr>
        <w:t xml:space="preserve"> Moreover, the article </w:t>
      </w:r>
      <w:r w:rsidR="00EF7F43" w:rsidRPr="00644F82">
        <w:rPr>
          <w:color w:val="000000" w:themeColor="text1"/>
        </w:rPr>
        <w:t>includes a</w:t>
      </w:r>
      <w:r w:rsidR="00442805" w:rsidRPr="00644F82">
        <w:rPr>
          <w:color w:val="000000" w:themeColor="text1"/>
        </w:rPr>
        <w:t xml:space="preserve"> “self-taken photograph of A. John Stincone” showing him “hanging the baby’s clothes” with the caption</w:t>
      </w:r>
      <w:r w:rsidR="00B0057C" w:rsidRPr="00644F82">
        <w:rPr>
          <w:color w:val="000000" w:themeColor="text1"/>
        </w:rPr>
        <w:t>, written by him, reading</w:t>
      </w:r>
      <w:r w:rsidR="00442805" w:rsidRPr="00644F82">
        <w:rPr>
          <w:color w:val="000000" w:themeColor="text1"/>
        </w:rPr>
        <w:t xml:space="preserve"> “‘recently you presented to the public Rosie the Riveter. I now submit for your approval Rosie the Riveter’s Husband.</w:t>
      </w:r>
      <w:r w:rsidR="00C3674F" w:rsidRPr="00644F82">
        <w:rPr>
          <w:color w:val="000000" w:themeColor="text1"/>
        </w:rPr>
        <w:t>’</w:t>
      </w:r>
      <w:r w:rsidR="00442805" w:rsidRPr="00644F82">
        <w:rPr>
          <w:color w:val="000000" w:themeColor="text1"/>
        </w:rPr>
        <w:t>”</w:t>
      </w:r>
      <w:r w:rsidR="00442805" w:rsidRPr="00644F82">
        <w:rPr>
          <w:rStyle w:val="FootnoteReference"/>
          <w:color w:val="000000" w:themeColor="text1"/>
        </w:rPr>
        <w:footnoteReference w:id="50"/>
      </w:r>
      <w:r w:rsidR="00442805" w:rsidRPr="00644F82">
        <w:rPr>
          <w:color w:val="000000" w:themeColor="text1"/>
        </w:rPr>
        <w:t xml:space="preserve"> </w:t>
      </w:r>
      <w:r w:rsidR="00EF7F43" w:rsidRPr="00644F82">
        <w:rPr>
          <w:color w:val="000000" w:themeColor="text1"/>
        </w:rPr>
        <w:t>While Stincone is mocking women’s work by performing domestic labor, his commentary, along with the author’s, shows that female mobilization efforts were reshaping American life. By referencing Rosie, Stincone acknowledges that women were actively participating in the war effort, and his proposed role as “Rosie the Riveter’s Husband” underscores women’s growing independence and reveals a potential shift in the gender hierarchy</w:t>
      </w:r>
      <w:r w:rsidR="00B524C7" w:rsidRPr="00644F82">
        <w:rPr>
          <w:color w:val="000000" w:themeColor="text1"/>
        </w:rPr>
        <w:t xml:space="preserve"> that sparked anxiety</w:t>
      </w:r>
      <w:r w:rsidR="00B0057C" w:rsidRPr="00644F82">
        <w:rPr>
          <w:color w:val="000000" w:themeColor="text1"/>
        </w:rPr>
        <w:t>.</w:t>
      </w:r>
      <w:r w:rsidR="00B0057C" w:rsidRPr="00644F82">
        <w:rPr>
          <w:rStyle w:val="FootnoteReference"/>
          <w:color w:val="000000" w:themeColor="text1"/>
        </w:rPr>
        <w:footnoteReference w:id="51"/>
      </w:r>
      <w:r w:rsidR="00B0057C" w:rsidRPr="00644F82">
        <w:rPr>
          <w:color w:val="000000" w:themeColor="text1"/>
        </w:rPr>
        <w:t xml:space="preserve"> </w:t>
      </w:r>
      <w:r w:rsidR="00EF7F43" w:rsidRPr="00644F82">
        <w:rPr>
          <w:color w:val="000000" w:themeColor="text1"/>
        </w:rPr>
        <w:t>At the same time, the article suggests that domestic labor emasculates men, highlighting the societal devaluation of such work, even as it recognizes that someone must perform these essential tasks if more women take on wage-earning roles</w:t>
      </w:r>
      <w:r w:rsidR="00B0057C" w:rsidRPr="00644F82">
        <w:rPr>
          <w:color w:val="000000" w:themeColor="text1"/>
        </w:rPr>
        <w:t>.</w:t>
      </w:r>
      <w:r w:rsidR="00EF7F43" w:rsidRPr="00644F82">
        <w:rPr>
          <w:color w:val="000000" w:themeColor="text1"/>
        </w:rPr>
        <w:t xml:space="preserve"> Ultimately, the</w:t>
      </w:r>
      <w:r w:rsidR="00680AA0" w:rsidRPr="00644F82">
        <w:rPr>
          <w:color w:val="000000" w:themeColor="text1"/>
        </w:rPr>
        <w:t xml:space="preserve">se </w:t>
      </w:r>
      <w:r w:rsidR="00EF7F43" w:rsidRPr="00644F82">
        <w:rPr>
          <w:color w:val="000000" w:themeColor="text1"/>
        </w:rPr>
        <w:t>mobilization campa</w:t>
      </w:r>
      <w:r w:rsidR="00680AA0" w:rsidRPr="00644F82">
        <w:rPr>
          <w:color w:val="000000" w:themeColor="text1"/>
        </w:rPr>
        <w:t xml:space="preserve">igns not only encouraged women into the public sphere, but </w:t>
      </w:r>
      <w:r w:rsidR="000A213B" w:rsidRPr="00644F82">
        <w:rPr>
          <w:color w:val="000000" w:themeColor="text1"/>
        </w:rPr>
        <w:t>they</w:t>
      </w:r>
      <w:r w:rsidR="00680AA0" w:rsidRPr="00644F82">
        <w:rPr>
          <w:color w:val="000000" w:themeColor="text1"/>
        </w:rPr>
        <w:t xml:space="preserve"> also, importantly, compelled men to acknowledge and navigate domestic labor, a shift that exposed and challenged existing assumptions about gendered work. </w:t>
      </w:r>
    </w:p>
    <w:p w14:paraId="214CF255" w14:textId="5A652044" w:rsidR="000D6F51" w:rsidRPr="00644F82" w:rsidRDefault="00B0057C" w:rsidP="00F6138B">
      <w:pPr>
        <w:spacing w:line="480" w:lineRule="auto"/>
        <w:rPr>
          <w:color w:val="000000" w:themeColor="text1"/>
        </w:rPr>
      </w:pPr>
      <w:r w:rsidRPr="00644F82">
        <w:rPr>
          <w:color w:val="000000" w:themeColor="text1"/>
        </w:rPr>
        <w:tab/>
      </w:r>
      <w:r w:rsidR="00BA1BEC" w:rsidRPr="00644F82">
        <w:rPr>
          <w:color w:val="000000" w:themeColor="text1"/>
        </w:rPr>
        <w:t>Two additional</w:t>
      </w:r>
      <w:r w:rsidR="004104F7" w:rsidRPr="00644F82">
        <w:rPr>
          <w:color w:val="000000" w:themeColor="text1"/>
        </w:rPr>
        <w:t xml:space="preserve"> </w:t>
      </w:r>
      <w:r w:rsidR="00BA1BEC" w:rsidRPr="00644F82">
        <w:rPr>
          <w:color w:val="000000" w:themeColor="text1"/>
        </w:rPr>
        <w:t>articles further communicate the impact of female mobilization campaigns</w:t>
      </w:r>
      <w:r w:rsidR="0068167C" w:rsidRPr="00644F82">
        <w:rPr>
          <w:color w:val="000000" w:themeColor="text1"/>
        </w:rPr>
        <w:t xml:space="preserve"> on soc</w:t>
      </w:r>
      <w:r w:rsidR="002E1584" w:rsidRPr="00644F82">
        <w:rPr>
          <w:color w:val="000000" w:themeColor="text1"/>
        </w:rPr>
        <w:t>ietal perceptions of women and</w:t>
      </w:r>
      <w:r w:rsidR="0037157C" w:rsidRPr="00644F82">
        <w:rPr>
          <w:color w:val="000000" w:themeColor="text1"/>
        </w:rPr>
        <w:t>, in particular, their domestic duties</w:t>
      </w:r>
      <w:r w:rsidR="00BA1BEC" w:rsidRPr="00644F82">
        <w:rPr>
          <w:color w:val="000000" w:themeColor="text1"/>
        </w:rPr>
        <w:t xml:space="preserve">. </w:t>
      </w:r>
      <w:r w:rsidR="00842829" w:rsidRPr="00644F82">
        <w:rPr>
          <w:color w:val="000000" w:themeColor="text1"/>
        </w:rPr>
        <w:t xml:space="preserve">Both published in the spring of 1944, “Are Women Doing Their Share?” and “The Stake of Women in </w:t>
      </w:r>
      <w:r w:rsidR="00842829" w:rsidRPr="00644F82">
        <w:rPr>
          <w:color w:val="000000" w:themeColor="text1"/>
        </w:rPr>
        <w:lastRenderedPageBreak/>
        <w:t>Full Postwar Employment” discuss women’s participation in the war effort. In “Are Women Doing Their Share?,” J. C. Furnas writes that women were doing “fairly well” in their wartime jobs and “Rosie does very well” once employers realize that “women are not just ‘little men.’”</w:t>
      </w:r>
      <w:r w:rsidR="00842829" w:rsidRPr="00644F82">
        <w:rPr>
          <w:rStyle w:val="FootnoteReference"/>
          <w:color w:val="000000" w:themeColor="text1"/>
        </w:rPr>
        <w:footnoteReference w:id="52"/>
      </w:r>
      <w:r w:rsidR="00A410EC" w:rsidRPr="00644F82">
        <w:rPr>
          <w:color w:val="000000" w:themeColor="text1"/>
        </w:rPr>
        <w:t xml:space="preserve"> Extraordinarily, Furnas acknowledges that </w:t>
      </w:r>
      <w:r w:rsidR="000413B5" w:rsidRPr="00644F82">
        <w:rPr>
          <w:color w:val="000000" w:themeColor="text1"/>
        </w:rPr>
        <w:t>“‘</w:t>
      </w:r>
      <w:r w:rsidR="00A410EC" w:rsidRPr="00644F82">
        <w:rPr>
          <w:color w:val="000000" w:themeColor="text1"/>
        </w:rPr>
        <w:t xml:space="preserve">women don’t have wives,’” declaring that “Rosie has a job and a half.” </w:t>
      </w:r>
      <w:r w:rsidR="009F4F76" w:rsidRPr="00644F82">
        <w:rPr>
          <w:color w:val="000000" w:themeColor="text1"/>
        </w:rPr>
        <w:t xml:space="preserve">In a rather rare instance, women’s domestic duties </w:t>
      </w:r>
      <w:r w:rsidR="000A213B" w:rsidRPr="00644F82">
        <w:rPr>
          <w:color w:val="000000" w:themeColor="text1"/>
        </w:rPr>
        <w:t>are</w:t>
      </w:r>
      <w:r w:rsidR="009F4F76" w:rsidRPr="00644F82">
        <w:rPr>
          <w:color w:val="000000" w:themeColor="text1"/>
        </w:rPr>
        <w:t xml:space="preserve"> finally recognized</w:t>
      </w:r>
      <w:r w:rsidR="006018DF" w:rsidRPr="00644F82">
        <w:rPr>
          <w:color w:val="000000" w:themeColor="text1"/>
        </w:rPr>
        <w:t xml:space="preserve">. As </w:t>
      </w:r>
      <w:r w:rsidR="009F4F76" w:rsidRPr="00644F82">
        <w:rPr>
          <w:color w:val="000000" w:themeColor="text1"/>
        </w:rPr>
        <w:t>Furnas shares that women were also the ones who cleaned the house, prepared meals, and took care of the children</w:t>
      </w:r>
      <w:r w:rsidR="006018DF" w:rsidRPr="00644F82">
        <w:rPr>
          <w:color w:val="000000" w:themeColor="text1"/>
        </w:rPr>
        <w:t>, he alludes to the fact that these duties were unpaid labor, and it only took</w:t>
      </w:r>
      <w:r w:rsidR="009F4F76" w:rsidRPr="00644F82">
        <w:rPr>
          <w:color w:val="000000" w:themeColor="text1"/>
        </w:rPr>
        <w:t xml:space="preserve"> female participation in the war effort, caused in part by mobilization posters, to get this recognition</w:t>
      </w:r>
      <w:r w:rsidR="006018DF" w:rsidRPr="00644F82">
        <w:rPr>
          <w:color w:val="000000" w:themeColor="text1"/>
        </w:rPr>
        <w:t>—revealing how women entering the workforce as wage earners highlights the importance of domestic labor</w:t>
      </w:r>
      <w:r w:rsidR="00A410EC" w:rsidRPr="00644F82">
        <w:rPr>
          <w:color w:val="000000" w:themeColor="text1"/>
        </w:rPr>
        <w:t>.</w:t>
      </w:r>
      <w:r w:rsidR="00A410EC" w:rsidRPr="00644F82">
        <w:rPr>
          <w:rStyle w:val="FootnoteReference"/>
          <w:color w:val="000000" w:themeColor="text1"/>
        </w:rPr>
        <w:footnoteReference w:id="53"/>
      </w:r>
      <w:r w:rsidR="008F2327" w:rsidRPr="00644F82">
        <w:rPr>
          <w:color w:val="000000" w:themeColor="text1"/>
        </w:rPr>
        <w:t xml:space="preserve"> </w:t>
      </w:r>
      <w:r w:rsidR="004104F7" w:rsidRPr="00644F82">
        <w:rPr>
          <w:color w:val="000000" w:themeColor="text1"/>
        </w:rPr>
        <w:t xml:space="preserve">Drawing on a female perspective, Dorothy Thompson examines </w:t>
      </w:r>
      <w:r w:rsidR="00F6138B" w:rsidRPr="00644F82">
        <w:rPr>
          <w:color w:val="000000" w:themeColor="text1"/>
        </w:rPr>
        <w:t>women’s</w:t>
      </w:r>
      <w:r w:rsidR="004104F7" w:rsidRPr="00644F82">
        <w:rPr>
          <w:color w:val="000000" w:themeColor="text1"/>
        </w:rPr>
        <w:t xml:space="preserve"> employment in the immediate postwar years. In “The Stake of Women in Full Postwar Employment,” she too acknowledges that women have two jobs, “the one in her home and the one outside of it.”</w:t>
      </w:r>
      <w:r w:rsidR="004104F7" w:rsidRPr="00644F82">
        <w:rPr>
          <w:rStyle w:val="FootnoteReference"/>
          <w:color w:val="000000" w:themeColor="text1"/>
        </w:rPr>
        <w:footnoteReference w:id="54"/>
      </w:r>
      <w:r w:rsidR="004104F7" w:rsidRPr="00644F82">
        <w:rPr>
          <w:color w:val="000000" w:themeColor="text1"/>
        </w:rPr>
        <w:t xml:space="preserve"> However, Thompson </w:t>
      </w:r>
      <w:r w:rsidR="007C0847" w:rsidRPr="00644F82">
        <w:rPr>
          <w:color w:val="000000" w:themeColor="text1"/>
        </w:rPr>
        <w:t xml:space="preserve">contends that there should be “wide employment at high wages” through broadening America’s economy into </w:t>
      </w:r>
      <w:r w:rsidR="00F6138B" w:rsidRPr="00644F82">
        <w:rPr>
          <w:color w:val="000000" w:themeColor="text1"/>
        </w:rPr>
        <w:t>foreign</w:t>
      </w:r>
      <w:r w:rsidR="007C0847" w:rsidRPr="00644F82">
        <w:rPr>
          <w:color w:val="000000" w:themeColor="text1"/>
        </w:rPr>
        <w:t xml:space="preserve"> markets</w:t>
      </w:r>
      <w:r w:rsidR="00F6138B" w:rsidRPr="00644F82">
        <w:rPr>
          <w:color w:val="000000" w:themeColor="text1"/>
        </w:rPr>
        <w:t>,</w:t>
      </w:r>
      <w:r w:rsidR="007C0847" w:rsidRPr="00644F82">
        <w:rPr>
          <w:color w:val="000000" w:themeColor="text1"/>
        </w:rPr>
        <w:t xml:space="preserve"> so women can choose to work.</w:t>
      </w:r>
      <w:r w:rsidR="00FA4DA2" w:rsidRPr="00644F82">
        <w:rPr>
          <w:rStyle w:val="FootnoteReference"/>
          <w:color w:val="000000" w:themeColor="text1"/>
        </w:rPr>
        <w:footnoteReference w:id="55"/>
      </w:r>
      <w:r w:rsidR="007C0847" w:rsidRPr="00644F82">
        <w:rPr>
          <w:color w:val="000000" w:themeColor="text1"/>
        </w:rPr>
        <w:t xml:space="preserve"> </w:t>
      </w:r>
      <w:r w:rsidR="009C6FC4" w:rsidRPr="00644F82">
        <w:rPr>
          <w:color w:val="000000" w:themeColor="text1"/>
        </w:rPr>
        <w:t>Rather</w:t>
      </w:r>
      <w:r w:rsidR="007C0847" w:rsidRPr="00644F82">
        <w:rPr>
          <w:color w:val="000000" w:themeColor="text1"/>
        </w:rPr>
        <w:t xml:space="preserve"> than unconditionally supporting women’s unprecedented participation in the </w:t>
      </w:r>
      <w:r w:rsidR="000A213B" w:rsidRPr="00644F82">
        <w:rPr>
          <w:color w:val="000000" w:themeColor="text1"/>
        </w:rPr>
        <w:t xml:space="preserve">wage </w:t>
      </w:r>
      <w:r w:rsidR="007C0847" w:rsidRPr="00644F82">
        <w:rPr>
          <w:color w:val="000000" w:themeColor="text1"/>
        </w:rPr>
        <w:t>labor force, Thompson frames women’s work as beneficial to the extent that it supports postwar prosperity and allows choice, but not necessarily a restructuring of gender roles to extend women’s roles into the public sphere.</w:t>
      </w:r>
      <w:r w:rsidR="006C6BAD" w:rsidRPr="00644F82">
        <w:rPr>
          <w:color w:val="000000" w:themeColor="text1"/>
        </w:rPr>
        <w:t xml:space="preserve"> </w:t>
      </w:r>
    </w:p>
    <w:p w14:paraId="2B6A70F4" w14:textId="370163E2" w:rsidR="006C6BAD" w:rsidRPr="00644F82" w:rsidRDefault="006C6BAD" w:rsidP="00F6138B">
      <w:pPr>
        <w:spacing w:line="480" w:lineRule="auto"/>
        <w:rPr>
          <w:color w:val="000000" w:themeColor="text1"/>
        </w:rPr>
      </w:pPr>
      <w:r w:rsidRPr="00644F82">
        <w:rPr>
          <w:color w:val="000000" w:themeColor="text1"/>
        </w:rPr>
        <w:tab/>
        <w:t xml:space="preserve">Taken together, these </w:t>
      </w:r>
      <w:r w:rsidR="00724CD2" w:rsidRPr="00644F82">
        <w:rPr>
          <w:color w:val="000000" w:themeColor="text1"/>
        </w:rPr>
        <w:t xml:space="preserve">newspaper </w:t>
      </w:r>
      <w:r w:rsidRPr="00644F82">
        <w:rPr>
          <w:color w:val="000000" w:themeColor="text1"/>
        </w:rPr>
        <w:t xml:space="preserve">articles illuminate the broader environment in which these wartime mobilization posters were produced, an environment that recognized women’s </w:t>
      </w:r>
      <w:r w:rsidRPr="00644F82">
        <w:rPr>
          <w:color w:val="000000" w:themeColor="text1"/>
        </w:rPr>
        <w:lastRenderedPageBreak/>
        <w:t xml:space="preserve">contributions yet hesitated to endorse any permanent redefinition of gender roles. </w:t>
      </w:r>
      <w:r w:rsidR="00B524C7" w:rsidRPr="00644F82">
        <w:rPr>
          <w:color w:val="000000" w:themeColor="text1"/>
        </w:rPr>
        <w:t xml:space="preserve">Public commentary alternated between admiration for women’s unprecedented wage-earning labor, anxiety about shifting gender hierarchies, and a continual insistence on the importance of domestic duties. This ambivalence, praising women’s wartime achievements while implying their temporary nature, mirrors the mobilization campaigns’ gendered framing of empowerment: women were encouraged in the public sphere, but only in ways that reaffirmed existing expectations of service, sacrifice, and domestic responsibility. Ultimately, these articles underscore that the social impact of female mobilization, like the posters themselves, expanded women’s roles only contingently and momentarily, preserving the patriarchal norms it seemed to challenge.  </w:t>
      </w:r>
    </w:p>
    <w:p w14:paraId="4762D5A6" w14:textId="55751B62" w:rsidR="00577DA0" w:rsidRPr="00644F82" w:rsidRDefault="00577DA0" w:rsidP="00F6138B">
      <w:pPr>
        <w:spacing w:line="480" w:lineRule="auto"/>
        <w:rPr>
          <w:b/>
          <w:color w:val="000000" w:themeColor="text1"/>
        </w:rPr>
      </w:pPr>
      <w:r w:rsidRPr="00644F82">
        <w:rPr>
          <w:b/>
          <w:color w:val="000000" w:themeColor="text1"/>
        </w:rPr>
        <w:t xml:space="preserve">The Return Home: Immediate Postwar </w:t>
      </w:r>
      <w:r w:rsidR="00C434F6" w:rsidRPr="00644F82">
        <w:rPr>
          <w:b/>
          <w:color w:val="000000" w:themeColor="text1"/>
        </w:rPr>
        <w:t>Realities</w:t>
      </w:r>
      <w:r w:rsidRPr="00644F82">
        <w:rPr>
          <w:b/>
          <w:color w:val="000000" w:themeColor="text1"/>
        </w:rPr>
        <w:t xml:space="preserve"> </w:t>
      </w:r>
      <w:r w:rsidR="00C434F6" w:rsidRPr="00644F82">
        <w:rPr>
          <w:b/>
          <w:color w:val="000000" w:themeColor="text1"/>
        </w:rPr>
        <w:t xml:space="preserve">for </w:t>
      </w:r>
      <w:r w:rsidRPr="00644F82">
        <w:rPr>
          <w:b/>
          <w:color w:val="000000" w:themeColor="text1"/>
        </w:rPr>
        <w:t>American Women</w:t>
      </w:r>
    </w:p>
    <w:p w14:paraId="23BE2F71" w14:textId="38726F4B" w:rsidR="00D15B76" w:rsidRDefault="00C434F6" w:rsidP="00F6138B">
      <w:pPr>
        <w:spacing w:line="480" w:lineRule="auto"/>
        <w:rPr>
          <w:bCs/>
          <w:color w:val="000000" w:themeColor="text1"/>
        </w:rPr>
      </w:pPr>
      <w:r w:rsidRPr="00644F82">
        <w:rPr>
          <w:bCs/>
          <w:color w:val="000000" w:themeColor="text1"/>
        </w:rPr>
        <w:tab/>
        <w:t xml:space="preserve">Once the war ended, many women returned back to their domestic roles. </w:t>
      </w:r>
      <w:r w:rsidR="00187CA4" w:rsidRPr="00644F82">
        <w:rPr>
          <w:bCs/>
          <w:color w:val="000000" w:themeColor="text1"/>
        </w:rPr>
        <w:t>While</w:t>
      </w:r>
      <w:r w:rsidRPr="00644F82">
        <w:rPr>
          <w:bCs/>
          <w:color w:val="000000" w:themeColor="text1"/>
        </w:rPr>
        <w:t xml:space="preserve"> some women continued to work</w:t>
      </w:r>
      <w:r w:rsidR="00980257">
        <w:rPr>
          <w:bCs/>
          <w:color w:val="000000" w:themeColor="text1"/>
        </w:rPr>
        <w:t xml:space="preserve">, </w:t>
      </w:r>
      <w:r w:rsidRPr="00644F82">
        <w:rPr>
          <w:bCs/>
          <w:color w:val="000000" w:themeColor="text1"/>
        </w:rPr>
        <w:t xml:space="preserve">many no longer had </w:t>
      </w:r>
      <w:r w:rsidR="009C6FC4" w:rsidRPr="00644F82">
        <w:rPr>
          <w:bCs/>
          <w:color w:val="000000" w:themeColor="text1"/>
        </w:rPr>
        <w:t xml:space="preserve">industrial </w:t>
      </w:r>
      <w:r w:rsidRPr="00644F82">
        <w:rPr>
          <w:bCs/>
          <w:color w:val="000000" w:themeColor="text1"/>
        </w:rPr>
        <w:t xml:space="preserve">jobs </w:t>
      </w:r>
      <w:r w:rsidR="00187CA4" w:rsidRPr="00644F82">
        <w:rPr>
          <w:bCs/>
          <w:color w:val="000000" w:themeColor="text1"/>
        </w:rPr>
        <w:t>as defense factories closed and servicemen returned home.</w:t>
      </w:r>
      <w:r w:rsidR="00187CA4" w:rsidRPr="00644F82">
        <w:rPr>
          <w:rStyle w:val="FootnoteReference"/>
          <w:bCs/>
          <w:color w:val="000000" w:themeColor="text1"/>
        </w:rPr>
        <w:footnoteReference w:id="56"/>
      </w:r>
      <w:r w:rsidR="00980257">
        <w:rPr>
          <w:bCs/>
          <w:color w:val="000000" w:themeColor="text1"/>
        </w:rPr>
        <w:t xml:space="preserve"> T</w:t>
      </w:r>
      <w:r w:rsidR="00187CA4" w:rsidRPr="00644F82">
        <w:rPr>
          <w:bCs/>
          <w:color w:val="000000" w:themeColor="text1"/>
        </w:rPr>
        <w:t>he female labor force shrank to a size that closely resembled that of 1940 rather than that of 1944.</w:t>
      </w:r>
      <w:r w:rsidR="00187CA4" w:rsidRPr="00644F82">
        <w:rPr>
          <w:rStyle w:val="FootnoteReference"/>
          <w:bCs/>
          <w:color w:val="000000" w:themeColor="text1"/>
        </w:rPr>
        <w:footnoteReference w:id="57"/>
      </w:r>
      <w:r w:rsidR="00187CA4" w:rsidRPr="00644F82">
        <w:rPr>
          <w:bCs/>
          <w:color w:val="000000" w:themeColor="text1"/>
        </w:rPr>
        <w:t xml:space="preserve"> </w:t>
      </w:r>
      <w:r w:rsidR="00F6138B" w:rsidRPr="00644F82">
        <w:rPr>
          <w:color w:val="000000" w:themeColor="text1"/>
        </w:rPr>
        <w:t xml:space="preserve">As peacetime conditions returned, women were </w:t>
      </w:r>
      <w:r w:rsidR="00C3674F" w:rsidRPr="00644F82">
        <w:rPr>
          <w:color w:val="000000" w:themeColor="text1"/>
        </w:rPr>
        <w:t>left</w:t>
      </w:r>
      <w:r w:rsidR="00F6138B" w:rsidRPr="00644F82">
        <w:rPr>
          <w:color w:val="000000" w:themeColor="text1"/>
        </w:rPr>
        <w:t xml:space="preserve"> where they had been before the war, </w:t>
      </w:r>
      <w:r w:rsidR="00C75510">
        <w:rPr>
          <w:color w:val="000000" w:themeColor="text1"/>
        </w:rPr>
        <w:t xml:space="preserve">demonstrating </w:t>
      </w:r>
      <w:r w:rsidR="00F6138B" w:rsidRPr="00644F82">
        <w:rPr>
          <w:color w:val="000000" w:themeColor="text1"/>
        </w:rPr>
        <w:t>the temporary nature of female mobilization efforts</w:t>
      </w:r>
      <w:r w:rsidR="00B55B73" w:rsidRPr="00644F82">
        <w:rPr>
          <w:color w:val="000000" w:themeColor="text1"/>
        </w:rPr>
        <w:t xml:space="preserve"> and also reflecting how much of the industrial production and available wage earning jobs were created by a military economy</w:t>
      </w:r>
      <w:r w:rsidR="00187CA4" w:rsidRPr="00644F82">
        <w:rPr>
          <w:bCs/>
          <w:color w:val="000000" w:themeColor="text1"/>
        </w:rPr>
        <w:t>.</w:t>
      </w:r>
      <w:r w:rsidR="00187CA4" w:rsidRPr="00644F82">
        <w:rPr>
          <w:rStyle w:val="FootnoteReference"/>
          <w:bCs/>
          <w:color w:val="000000" w:themeColor="text1"/>
        </w:rPr>
        <w:footnoteReference w:id="58"/>
      </w:r>
      <w:r w:rsidR="00187CA4" w:rsidRPr="00644F82">
        <w:rPr>
          <w:bCs/>
          <w:color w:val="000000" w:themeColor="text1"/>
        </w:rPr>
        <w:t xml:space="preserve"> Yet this poses the question: why did women leave the workforce just as quickly as they entered it? As this paper has examined, mobilization efforts played a significant role in encouraging women to join the workforce</w:t>
      </w:r>
      <w:r w:rsidR="009C6FC4" w:rsidRPr="00644F82">
        <w:rPr>
          <w:bCs/>
          <w:color w:val="000000" w:themeColor="text1"/>
        </w:rPr>
        <w:t xml:space="preserve">. </w:t>
      </w:r>
    </w:p>
    <w:p w14:paraId="5B765570" w14:textId="3E88DE1F" w:rsidR="00C726CA" w:rsidRPr="00644F82" w:rsidRDefault="009C6FC4" w:rsidP="00EE16A6">
      <w:pPr>
        <w:spacing w:line="480" w:lineRule="auto"/>
        <w:ind w:firstLine="720"/>
        <w:rPr>
          <w:color w:val="000000" w:themeColor="text1"/>
        </w:rPr>
      </w:pPr>
      <w:r w:rsidRPr="00644F82">
        <w:rPr>
          <w:bCs/>
          <w:color w:val="000000" w:themeColor="text1"/>
        </w:rPr>
        <w:lastRenderedPageBreak/>
        <w:t>W</w:t>
      </w:r>
      <w:r w:rsidR="00187CA4" w:rsidRPr="00644F82">
        <w:rPr>
          <w:bCs/>
          <w:color w:val="000000" w:themeColor="text1"/>
        </w:rPr>
        <w:t>ere similar</w:t>
      </w:r>
      <w:r w:rsidRPr="00644F82">
        <w:rPr>
          <w:bCs/>
          <w:color w:val="000000" w:themeColor="text1"/>
        </w:rPr>
        <w:t xml:space="preserve"> state-led</w:t>
      </w:r>
      <w:r w:rsidR="00187CA4" w:rsidRPr="00644F82">
        <w:rPr>
          <w:bCs/>
          <w:color w:val="000000" w:themeColor="text1"/>
        </w:rPr>
        <w:t xml:space="preserve"> tactics used to encourage them to </w:t>
      </w:r>
      <w:r w:rsidRPr="00644F82">
        <w:rPr>
          <w:bCs/>
          <w:color w:val="000000" w:themeColor="text1"/>
        </w:rPr>
        <w:t>‘</w:t>
      </w:r>
      <w:r w:rsidR="00187CA4" w:rsidRPr="00644F82">
        <w:rPr>
          <w:bCs/>
          <w:color w:val="000000" w:themeColor="text1"/>
        </w:rPr>
        <w:t>return home</w:t>
      </w:r>
      <w:r w:rsidRPr="00644F82">
        <w:rPr>
          <w:bCs/>
          <w:color w:val="000000" w:themeColor="text1"/>
        </w:rPr>
        <w:t>’ and reassume the domestic role</w:t>
      </w:r>
      <w:r w:rsidR="00187CA4" w:rsidRPr="00644F82">
        <w:rPr>
          <w:bCs/>
          <w:color w:val="000000" w:themeColor="text1"/>
        </w:rPr>
        <w:t xml:space="preserve">? This section </w:t>
      </w:r>
      <w:r w:rsidR="00604E41" w:rsidRPr="00644F82">
        <w:rPr>
          <w:bCs/>
          <w:color w:val="000000" w:themeColor="text1"/>
        </w:rPr>
        <w:t>addresses</w:t>
      </w:r>
      <w:r w:rsidR="00187CA4" w:rsidRPr="00644F82">
        <w:rPr>
          <w:bCs/>
          <w:color w:val="000000" w:themeColor="text1"/>
        </w:rPr>
        <w:t xml:space="preserve"> this ve</w:t>
      </w:r>
      <w:r w:rsidR="00604E41" w:rsidRPr="00644F82">
        <w:rPr>
          <w:bCs/>
          <w:color w:val="000000" w:themeColor="text1"/>
        </w:rPr>
        <w:t xml:space="preserve">ry question by briefly examining </w:t>
      </w:r>
      <w:r w:rsidR="00C726CA" w:rsidRPr="00644F82">
        <w:rPr>
          <w:bCs/>
          <w:color w:val="000000" w:themeColor="text1"/>
        </w:rPr>
        <w:t xml:space="preserve">a state-sponsored pamphlet </w:t>
      </w:r>
      <w:r w:rsidR="00604E41" w:rsidRPr="00644F82">
        <w:rPr>
          <w:bCs/>
          <w:color w:val="000000" w:themeColor="text1"/>
        </w:rPr>
        <w:t xml:space="preserve">that called for women to return back to the private sphere. </w:t>
      </w:r>
    </w:p>
    <w:p w14:paraId="514C610D" w14:textId="13FAFBB7" w:rsidR="0087424C" w:rsidRPr="00644F82" w:rsidRDefault="00604E41" w:rsidP="00F6138B">
      <w:pPr>
        <w:spacing w:line="480" w:lineRule="auto"/>
        <w:rPr>
          <w:color w:val="000000" w:themeColor="text1"/>
        </w:rPr>
      </w:pPr>
      <w:r w:rsidRPr="00644F82">
        <w:rPr>
          <w:bCs/>
          <w:color w:val="000000" w:themeColor="text1"/>
        </w:rPr>
        <w:tab/>
        <w:t>In June 1944, the US War Department published “Do You Want Your Wife to Work After the War?”</w:t>
      </w:r>
      <w:r w:rsidR="00C313CB" w:rsidRPr="00644F82">
        <w:rPr>
          <w:bCs/>
          <w:color w:val="000000" w:themeColor="text1"/>
        </w:rPr>
        <w:t xml:space="preserve"> </w:t>
      </w:r>
      <w:r w:rsidR="00C313CB" w:rsidRPr="00644F82">
        <w:rPr>
          <w:color w:val="000000" w:themeColor="text1"/>
        </w:rPr>
        <w:t xml:space="preserve">(see figure </w:t>
      </w:r>
      <w:r w:rsidR="00D624C9" w:rsidRPr="00644F82">
        <w:rPr>
          <w:color w:val="000000" w:themeColor="text1"/>
        </w:rPr>
        <w:t>10</w:t>
      </w:r>
      <w:r w:rsidR="00C313CB" w:rsidRPr="00644F82">
        <w:rPr>
          <w:color w:val="000000" w:themeColor="text1"/>
        </w:rPr>
        <w:t>).</w:t>
      </w:r>
      <w:r w:rsidRPr="00644F82">
        <w:rPr>
          <w:bCs/>
          <w:color w:val="000000" w:themeColor="text1"/>
        </w:rPr>
        <w:t xml:space="preserve"> This 44-page pamphlet</w:t>
      </w:r>
      <w:r w:rsidR="00F6138B" w:rsidRPr="00644F82">
        <w:rPr>
          <w:bCs/>
          <w:color w:val="000000" w:themeColor="text1"/>
        </w:rPr>
        <w:t>,</w:t>
      </w:r>
      <w:r w:rsidRPr="00644F82">
        <w:rPr>
          <w:bCs/>
          <w:color w:val="000000" w:themeColor="text1"/>
        </w:rPr>
        <w:t xml:space="preserve"> ordered by the </w:t>
      </w:r>
      <w:r w:rsidR="00F6138B" w:rsidRPr="00644F82">
        <w:rPr>
          <w:bCs/>
          <w:color w:val="000000" w:themeColor="text1"/>
        </w:rPr>
        <w:t>S</w:t>
      </w:r>
      <w:r w:rsidRPr="00644F82">
        <w:rPr>
          <w:bCs/>
          <w:color w:val="000000" w:themeColor="text1"/>
        </w:rPr>
        <w:t xml:space="preserve">ecretary of </w:t>
      </w:r>
      <w:r w:rsidR="00F6138B" w:rsidRPr="00644F82">
        <w:rPr>
          <w:bCs/>
          <w:color w:val="000000" w:themeColor="text1"/>
        </w:rPr>
        <w:t>W</w:t>
      </w:r>
      <w:r w:rsidRPr="00644F82">
        <w:rPr>
          <w:bCs/>
          <w:color w:val="000000" w:themeColor="text1"/>
        </w:rPr>
        <w:t>ar outlines “facts, figures, and a summary of various arguments” that are for and against “the employment of married women.”</w:t>
      </w:r>
      <w:r w:rsidRPr="00644F82">
        <w:rPr>
          <w:rStyle w:val="FootnoteReference"/>
          <w:bCs/>
          <w:color w:val="000000" w:themeColor="text1"/>
        </w:rPr>
        <w:footnoteReference w:id="59"/>
      </w:r>
      <w:r w:rsidR="000A213B" w:rsidRPr="00644F82">
        <w:rPr>
          <w:bCs/>
          <w:color w:val="000000" w:themeColor="text1"/>
        </w:rPr>
        <w:t xml:space="preserve"> </w:t>
      </w:r>
      <w:r w:rsidR="00B55B73" w:rsidRPr="00644F82">
        <w:rPr>
          <w:bCs/>
          <w:color w:val="000000" w:themeColor="text1"/>
        </w:rPr>
        <w:t>My analysis of the pamphlet will focus on the front cover and the “To the Leader” section, with particular attention to how women were depicted here compared to their portrayal in the wartime posters I previously examined</w:t>
      </w:r>
      <w:r w:rsidR="000679BB" w:rsidRPr="00644F82">
        <w:rPr>
          <w:bCs/>
          <w:color w:val="000000" w:themeColor="text1"/>
        </w:rPr>
        <w:t>.</w:t>
      </w:r>
      <w:r w:rsidR="000679BB" w:rsidRPr="00644F82">
        <w:rPr>
          <w:rStyle w:val="FootnoteReference"/>
          <w:bCs/>
          <w:color w:val="000000" w:themeColor="text1"/>
        </w:rPr>
        <w:footnoteReference w:id="60"/>
      </w:r>
      <w:r w:rsidR="000679BB" w:rsidRPr="00644F82">
        <w:rPr>
          <w:bCs/>
          <w:color w:val="000000" w:themeColor="text1"/>
        </w:rPr>
        <w:t xml:space="preserve"> </w:t>
      </w:r>
      <w:r w:rsidR="00F6138B" w:rsidRPr="00644F82">
        <w:rPr>
          <w:color w:val="000000" w:themeColor="text1"/>
        </w:rPr>
        <w:t xml:space="preserve">Drawing on the same analytical framework applied to the war posters, </w:t>
      </w:r>
      <w:r w:rsidR="006D7534">
        <w:rPr>
          <w:color w:val="000000" w:themeColor="text1"/>
        </w:rPr>
        <w:t>the</w:t>
      </w:r>
      <w:r w:rsidR="006D7534" w:rsidRPr="00644F82">
        <w:rPr>
          <w:color w:val="000000" w:themeColor="text1"/>
        </w:rPr>
        <w:t xml:space="preserve"> </w:t>
      </w:r>
      <w:r w:rsidR="00F6138B" w:rsidRPr="00644F82">
        <w:rPr>
          <w:color w:val="000000" w:themeColor="text1"/>
        </w:rPr>
        <w:t>pamphlet</w:t>
      </w:r>
      <w:r w:rsidR="006D7534">
        <w:rPr>
          <w:color w:val="000000" w:themeColor="text1"/>
        </w:rPr>
        <w:t xml:space="preserve"> cover</w:t>
      </w:r>
      <w:r w:rsidR="00F6138B" w:rsidRPr="00644F82">
        <w:rPr>
          <w:color w:val="000000" w:themeColor="text1"/>
        </w:rPr>
        <w:t xml:space="preserve"> shares many of their characteristics. </w:t>
      </w:r>
      <w:r w:rsidR="000A213B" w:rsidRPr="00644F82">
        <w:rPr>
          <w:color w:val="000000" w:themeColor="text1"/>
        </w:rPr>
        <w:t>For example, t</w:t>
      </w:r>
      <w:r w:rsidR="00F6138B" w:rsidRPr="00644F82">
        <w:rPr>
          <w:color w:val="000000" w:themeColor="text1"/>
        </w:rPr>
        <w:t>he redness of her bandana, lipstick, and fingernails centers the reader’s attention on her beauty and idealized features</w:t>
      </w:r>
      <w:r w:rsidR="000A213B" w:rsidRPr="00644F82">
        <w:rPr>
          <w:color w:val="000000" w:themeColor="text1"/>
        </w:rPr>
        <w:t>, extending this gendered depiction of women as wage earners into the immediate postwar years</w:t>
      </w:r>
      <w:r w:rsidR="00F6138B" w:rsidRPr="00644F82">
        <w:rPr>
          <w:color w:val="000000" w:themeColor="text1"/>
        </w:rPr>
        <w:t xml:space="preserve">. She appears to be getting ready for another day at the factory, with her hair pinned up, yet she takes the time to put on makeup, reinforcing traditional views of femininity even in this unprecedented time of change. </w:t>
      </w:r>
      <w:r w:rsidR="00394E32" w:rsidRPr="00644F82">
        <w:rPr>
          <w:color w:val="000000" w:themeColor="text1"/>
        </w:rPr>
        <w:t>At the same time, the pamphlet cover clearly presents an idealized vision of a middle-class woman</w:t>
      </w:r>
      <w:r w:rsidR="00EC2034" w:rsidRPr="00644F82">
        <w:rPr>
          <w:color w:val="000000" w:themeColor="text1"/>
        </w:rPr>
        <w:t xml:space="preserve">, </w:t>
      </w:r>
      <w:r w:rsidR="00394E32" w:rsidRPr="00644F82">
        <w:rPr>
          <w:color w:val="000000" w:themeColor="text1"/>
        </w:rPr>
        <w:t xml:space="preserve">largely </w:t>
      </w:r>
      <w:r w:rsidR="00EC2034" w:rsidRPr="00644F82">
        <w:rPr>
          <w:color w:val="000000" w:themeColor="text1"/>
        </w:rPr>
        <w:t xml:space="preserve">erasing </w:t>
      </w:r>
      <w:r w:rsidR="00394E32" w:rsidRPr="00644F82">
        <w:rPr>
          <w:color w:val="000000" w:themeColor="text1"/>
        </w:rPr>
        <w:t>the experiences of working-class women and women of color</w:t>
      </w:r>
      <w:r w:rsidR="00EC2034" w:rsidRPr="00644F82">
        <w:rPr>
          <w:color w:val="000000" w:themeColor="text1"/>
        </w:rPr>
        <w:t>. Like the</w:t>
      </w:r>
      <w:r w:rsidR="00394E32" w:rsidRPr="00644F82">
        <w:rPr>
          <w:color w:val="000000" w:themeColor="text1"/>
        </w:rPr>
        <w:t xml:space="preserve"> wartime posters, </w:t>
      </w:r>
      <w:r w:rsidR="00EC2034" w:rsidRPr="00644F82">
        <w:rPr>
          <w:color w:val="000000" w:themeColor="text1"/>
        </w:rPr>
        <w:t>it</w:t>
      </w:r>
      <w:r w:rsidR="00394E32" w:rsidRPr="00644F82">
        <w:rPr>
          <w:color w:val="000000" w:themeColor="text1"/>
        </w:rPr>
        <w:t xml:space="preserve"> suggests that the ‘acceptable’ model of womanhood was a white</w:t>
      </w:r>
      <w:r w:rsidR="00EC2034" w:rsidRPr="00644F82">
        <w:rPr>
          <w:color w:val="000000" w:themeColor="text1"/>
        </w:rPr>
        <w:t xml:space="preserve">, middle-class </w:t>
      </w:r>
      <w:r w:rsidR="00394E32" w:rsidRPr="00644F82">
        <w:rPr>
          <w:color w:val="000000" w:themeColor="text1"/>
        </w:rPr>
        <w:t>housewife</w:t>
      </w:r>
      <w:r w:rsidR="00EC2034" w:rsidRPr="00644F82">
        <w:rPr>
          <w:color w:val="000000" w:themeColor="text1"/>
        </w:rPr>
        <w:t>, demonstrating a continuation of US state-sponsored propaganda’s narrow definition of women’s roles along both class and racial lines.</w:t>
      </w:r>
    </w:p>
    <w:p w14:paraId="230BDB17" w14:textId="39C1EDA6" w:rsidR="00604E41" w:rsidRPr="00644F82" w:rsidRDefault="00F30CDC" w:rsidP="0087424C">
      <w:pPr>
        <w:spacing w:line="480" w:lineRule="auto"/>
        <w:ind w:firstLine="720"/>
        <w:rPr>
          <w:color w:val="000000" w:themeColor="text1"/>
        </w:rPr>
      </w:pPr>
      <w:r w:rsidRPr="00644F82">
        <w:rPr>
          <w:bCs/>
          <w:color w:val="000000" w:themeColor="text1"/>
        </w:rPr>
        <w:lastRenderedPageBreak/>
        <w:t>Furthermore, the “To the Leader Section” informs the reader on how to use this pamphlet. Interestingly, one of the questions is “How can a man decide whether or not he wants his wife to work?,” suggesting that a man has the ultimate say in what his wife does, echoing similar messaging presented in the war posters.</w:t>
      </w:r>
      <w:r w:rsidRPr="00644F82">
        <w:rPr>
          <w:rStyle w:val="FootnoteReference"/>
          <w:bCs/>
          <w:color w:val="000000" w:themeColor="text1"/>
        </w:rPr>
        <w:footnoteReference w:id="61"/>
      </w:r>
      <w:r w:rsidRPr="00644F82">
        <w:rPr>
          <w:bCs/>
          <w:color w:val="000000" w:themeColor="text1"/>
        </w:rPr>
        <w:t xml:space="preserve"> </w:t>
      </w:r>
      <w:r w:rsidR="00F01C6D" w:rsidRPr="00644F82">
        <w:rPr>
          <w:bCs/>
          <w:color w:val="000000" w:themeColor="text1"/>
        </w:rPr>
        <w:t xml:space="preserve">By having </w:t>
      </w:r>
      <w:r w:rsidRPr="00644F82">
        <w:rPr>
          <w:bCs/>
          <w:color w:val="000000" w:themeColor="text1"/>
        </w:rPr>
        <w:t>“each assistant familiarize himself with the pamphlet data”</w:t>
      </w:r>
      <w:r w:rsidR="00F01C6D" w:rsidRPr="00644F82">
        <w:rPr>
          <w:bCs/>
          <w:color w:val="000000" w:themeColor="text1"/>
        </w:rPr>
        <w:t xml:space="preserve"> and asking questions such as “should his wife take away another man’s job?,” this pamphlet highlights the continuation of gendered empowerment</w:t>
      </w:r>
      <w:r w:rsidR="009C6FC4" w:rsidRPr="00644F82">
        <w:rPr>
          <w:bCs/>
          <w:color w:val="000000" w:themeColor="text1"/>
        </w:rPr>
        <w:t xml:space="preserve"> as limited by </w:t>
      </w:r>
      <w:r w:rsidR="00947BB1" w:rsidRPr="00644F82">
        <w:rPr>
          <w:bCs/>
          <w:color w:val="000000" w:themeColor="text1"/>
        </w:rPr>
        <w:t>the patriarchy</w:t>
      </w:r>
      <w:r w:rsidR="00F01C6D" w:rsidRPr="00644F82">
        <w:rPr>
          <w:bCs/>
          <w:color w:val="000000" w:themeColor="text1"/>
        </w:rPr>
        <w:t>.</w:t>
      </w:r>
      <w:r w:rsidRPr="00644F82">
        <w:rPr>
          <w:rStyle w:val="FootnoteReference"/>
          <w:bCs/>
          <w:color w:val="000000" w:themeColor="text1"/>
        </w:rPr>
        <w:footnoteReference w:id="62"/>
      </w:r>
      <w:r w:rsidR="00F01C6D" w:rsidRPr="00644F82">
        <w:rPr>
          <w:bCs/>
          <w:color w:val="000000" w:themeColor="text1"/>
        </w:rPr>
        <w:t xml:space="preserve"> </w:t>
      </w:r>
      <w:r w:rsidR="009C6FC4" w:rsidRPr="00644F82">
        <w:rPr>
          <w:bCs/>
          <w:color w:val="000000" w:themeColor="text1"/>
        </w:rPr>
        <w:t xml:space="preserve">The pamphlet’s cover image, as well as its contents, suggest that regardless </w:t>
      </w:r>
      <w:r w:rsidR="009C6FC4" w:rsidRPr="00644F82">
        <w:rPr>
          <w:color w:val="000000" w:themeColor="text1"/>
        </w:rPr>
        <w:t>of</w:t>
      </w:r>
      <w:r w:rsidR="00F6138B" w:rsidRPr="00644F82">
        <w:rPr>
          <w:color w:val="000000" w:themeColor="text1"/>
        </w:rPr>
        <w:t xml:space="preserve"> what the wife wants, her husband has the last say, and his approval determines whether she can continue working. </w:t>
      </w:r>
      <w:r w:rsidR="0087424C" w:rsidRPr="00644F82">
        <w:rPr>
          <w:color w:val="000000" w:themeColor="text1"/>
        </w:rPr>
        <w:t>Moreover</w:t>
      </w:r>
      <w:r w:rsidR="00931F5D">
        <w:rPr>
          <w:color w:val="000000" w:themeColor="text1"/>
        </w:rPr>
        <w:t xml:space="preserve"> T</w:t>
      </w:r>
      <w:r w:rsidR="0087424C" w:rsidRPr="00644F82">
        <w:rPr>
          <w:color w:val="000000" w:themeColor="text1"/>
        </w:rPr>
        <w:t>his emphasis on her husband’s approval insinuates that there was some anxiety over gender roles changing due to the war, and consequently suggests that wartime mobilization had an impact on expanding women’s gender role</w:t>
      </w:r>
      <w:r w:rsidR="000A213B" w:rsidRPr="00644F82">
        <w:rPr>
          <w:color w:val="000000" w:themeColor="text1"/>
        </w:rPr>
        <w:t xml:space="preserve">. American society </w:t>
      </w:r>
      <w:r w:rsidR="0087424C" w:rsidRPr="00644F82">
        <w:rPr>
          <w:color w:val="000000" w:themeColor="text1"/>
        </w:rPr>
        <w:t xml:space="preserve">felt the need to stress male dominance over women in the immediate postwar years as a means of reaffirming the gender hierarchy. </w:t>
      </w:r>
      <w:r w:rsidR="00F73497">
        <w:rPr>
          <w:color w:val="000000" w:themeColor="text1"/>
        </w:rPr>
        <w:t>Additionally</w:t>
      </w:r>
      <w:r w:rsidR="00F6138B" w:rsidRPr="00644F82">
        <w:rPr>
          <w:color w:val="000000" w:themeColor="text1"/>
        </w:rPr>
        <w:t>, this pamphlet also overlooks women’s domestic duties and instead focuses on whether their participation in the labor force is necessary. Ultimately, this pamphlet exemplifies the continuation of gendered empowerment because</w:t>
      </w:r>
      <w:r w:rsidR="00F35F53">
        <w:rPr>
          <w:color w:val="000000" w:themeColor="text1"/>
        </w:rPr>
        <w:t>,</w:t>
      </w:r>
      <w:r w:rsidR="00F6138B" w:rsidRPr="00644F82">
        <w:rPr>
          <w:color w:val="000000" w:themeColor="text1"/>
        </w:rPr>
        <w:t xml:space="preserve"> not only were women unable to enter the workforce without their husbands’ approval, but they were also unable to remain in it unless their husbands approved</w:t>
      </w:r>
      <w:r w:rsidR="00AB764B" w:rsidRPr="00644F82">
        <w:rPr>
          <w:bCs/>
          <w:color w:val="000000" w:themeColor="text1"/>
        </w:rPr>
        <w:t xml:space="preserve">. </w:t>
      </w:r>
    </w:p>
    <w:p w14:paraId="7472C6A7" w14:textId="78B7E013" w:rsidR="00AB764B" w:rsidRPr="00644F82" w:rsidRDefault="00C45E50" w:rsidP="00F6138B">
      <w:pPr>
        <w:spacing w:line="480" w:lineRule="auto"/>
        <w:rPr>
          <w:b/>
          <w:color w:val="000000" w:themeColor="text1"/>
        </w:rPr>
      </w:pPr>
      <w:r w:rsidRPr="00644F82">
        <w:rPr>
          <w:b/>
          <w:color w:val="000000" w:themeColor="text1"/>
        </w:rPr>
        <w:t>Conclusion</w:t>
      </w:r>
    </w:p>
    <w:p w14:paraId="0A89F858" w14:textId="5FC6D2D8" w:rsidR="00C45E50" w:rsidRPr="00644F82" w:rsidRDefault="00F6138B" w:rsidP="00F6138B">
      <w:pPr>
        <w:spacing w:line="480" w:lineRule="auto"/>
        <w:ind w:firstLine="720"/>
        <w:rPr>
          <w:color w:val="000000" w:themeColor="text1"/>
        </w:rPr>
      </w:pPr>
      <w:r w:rsidRPr="00644F82">
        <w:rPr>
          <w:color w:val="000000" w:themeColor="text1"/>
        </w:rPr>
        <w:t xml:space="preserve">Famously remembered by Rosie the Riveter, World War II mobilization efforts aimed at women have been celebrated for their seemingly empowering messaging. However, upon closer inspection, these messages projected a different kind of empowerment: one centered </w:t>
      </w:r>
      <w:r w:rsidR="00B1436D" w:rsidRPr="00644F82">
        <w:rPr>
          <w:color w:val="000000" w:themeColor="text1"/>
        </w:rPr>
        <w:t>around</w:t>
      </w:r>
      <w:r w:rsidRPr="00644F82">
        <w:rPr>
          <w:color w:val="000000" w:themeColor="text1"/>
        </w:rPr>
        <w:t xml:space="preserve"> gender. By drawing on social reproduction theory and visual regimes, this paper reveals how </w:t>
      </w:r>
      <w:r w:rsidRPr="00644F82">
        <w:rPr>
          <w:color w:val="000000" w:themeColor="text1"/>
        </w:rPr>
        <w:lastRenderedPageBreak/>
        <w:t xml:space="preserve">female mobilization was framed to encourage women to join the </w:t>
      </w:r>
      <w:r w:rsidR="00B1436D" w:rsidRPr="00644F82">
        <w:rPr>
          <w:color w:val="000000" w:themeColor="text1"/>
        </w:rPr>
        <w:t xml:space="preserve">workforce </w:t>
      </w:r>
      <w:r w:rsidRPr="00644F82">
        <w:rPr>
          <w:color w:val="000000" w:themeColor="text1"/>
        </w:rPr>
        <w:t>without threatening the gender hierarchy or views of femininity. Women were made visible and valued, but only under conditions that preserved male authority and gendered order. Posters and government campaigns depicted women as patriotic workers only to the extent that their labor supported their husbands, or</w:t>
      </w:r>
      <w:r w:rsidR="00B1436D" w:rsidRPr="00644F82">
        <w:rPr>
          <w:color w:val="000000" w:themeColor="text1"/>
        </w:rPr>
        <w:t>,</w:t>
      </w:r>
      <w:r w:rsidRPr="00644F82">
        <w:rPr>
          <w:color w:val="000000" w:themeColor="text1"/>
        </w:rPr>
        <w:t xml:space="preserve"> more </w:t>
      </w:r>
      <w:r w:rsidR="00A95E7E" w:rsidRPr="00644F82">
        <w:rPr>
          <w:color w:val="000000" w:themeColor="text1"/>
        </w:rPr>
        <w:t>generally</w:t>
      </w:r>
      <w:r w:rsidRPr="00644F82">
        <w:rPr>
          <w:color w:val="000000" w:themeColor="text1"/>
        </w:rPr>
        <w:t xml:space="preserve">, </w:t>
      </w:r>
      <w:r w:rsidR="00C3674F" w:rsidRPr="00644F82">
        <w:rPr>
          <w:color w:val="000000" w:themeColor="text1"/>
        </w:rPr>
        <w:t>men</w:t>
      </w:r>
      <w:r w:rsidRPr="00644F82">
        <w:rPr>
          <w:color w:val="000000" w:themeColor="text1"/>
        </w:rPr>
        <w:t xml:space="preserve">. This gendered framing maintained the boundaries between the private and public spheres even as women entered traditionally male-dominated fields. Their messaging was clear: women’s work was acceptable only when it served men and the country. </w:t>
      </w:r>
      <w:r w:rsidR="003A71C5">
        <w:rPr>
          <w:color w:val="000000" w:themeColor="text1"/>
        </w:rPr>
        <w:t>F</w:t>
      </w:r>
      <w:r w:rsidRPr="00644F82">
        <w:rPr>
          <w:color w:val="000000" w:themeColor="text1"/>
        </w:rPr>
        <w:t>emale mobilization was framed in the context of her domestic role and continued to reinforce traditional views of femininity. Wartime propaganda did not simply mobilize women; it disciplined them to perform labor consistent with existing social expectations—portraying participation as an extension of their domestic duty. Consequently, women’s participation was not seen as a challenge to the patriarchal system but rather as a reaffirmation of it, allowing women to enter the public sphere while keeping them ideologically connected to the private one</w:t>
      </w:r>
      <w:r w:rsidR="00FF7A23" w:rsidRPr="00644F82">
        <w:rPr>
          <w:bCs/>
          <w:color w:val="000000" w:themeColor="text1"/>
        </w:rPr>
        <w:t xml:space="preserve">.  </w:t>
      </w:r>
    </w:p>
    <w:p w14:paraId="53FD4B4D" w14:textId="699384A1" w:rsidR="0040359F" w:rsidRPr="00644F82" w:rsidRDefault="00C45E50" w:rsidP="00FF0AF3">
      <w:pPr>
        <w:spacing w:line="480" w:lineRule="auto"/>
        <w:ind w:firstLine="720"/>
        <w:rPr>
          <w:color w:val="000000" w:themeColor="text1"/>
        </w:rPr>
      </w:pPr>
      <w:r w:rsidRPr="00644F82">
        <w:rPr>
          <w:bCs/>
          <w:color w:val="000000" w:themeColor="text1"/>
        </w:rPr>
        <w:t xml:space="preserve">By </w:t>
      </w:r>
      <w:r w:rsidR="00F6138B" w:rsidRPr="00644F82">
        <w:rPr>
          <w:color w:val="000000" w:themeColor="text1"/>
        </w:rPr>
        <w:t>sharing this research, I suggest that we separate Rosie’s creation from her historical memory.</w:t>
      </w:r>
      <w:r w:rsidR="007A2260">
        <w:rPr>
          <w:color w:val="000000" w:themeColor="text1"/>
        </w:rPr>
        <w:t xml:space="preserve"> </w:t>
      </w:r>
      <w:r w:rsidR="00F6138B" w:rsidRPr="00644F82">
        <w:rPr>
          <w:color w:val="000000" w:themeColor="text1"/>
        </w:rPr>
        <w:t xml:space="preserve">While her status </w:t>
      </w:r>
      <w:r w:rsidR="00B1436D" w:rsidRPr="00644F82">
        <w:rPr>
          <w:color w:val="000000" w:themeColor="text1"/>
        </w:rPr>
        <w:t xml:space="preserve">as an icon </w:t>
      </w:r>
      <w:r w:rsidR="00F6138B" w:rsidRPr="00644F82">
        <w:rPr>
          <w:color w:val="000000" w:themeColor="text1"/>
        </w:rPr>
        <w:t xml:space="preserve">cannot be erased, it is important to acknowledge that these mobilization efforts were created to encourage women to join the workforce as a condition of their domesticity, not because American society finally believed women should join the public sphere. </w:t>
      </w:r>
      <w:r w:rsidR="00FF0AF3" w:rsidRPr="00644F82">
        <w:rPr>
          <w:color w:val="000000" w:themeColor="text1"/>
        </w:rPr>
        <w:t xml:space="preserve">Therefore, images of Rosie or Rosie-esque depictions </w:t>
      </w:r>
      <w:r w:rsidR="00D51DE2" w:rsidRPr="00644F82">
        <w:rPr>
          <w:color w:val="000000" w:themeColor="text1"/>
        </w:rPr>
        <w:t xml:space="preserve">of </w:t>
      </w:r>
      <w:r w:rsidR="00FF0AF3" w:rsidRPr="00644F82">
        <w:rPr>
          <w:color w:val="000000" w:themeColor="text1"/>
        </w:rPr>
        <w:t>women,</w:t>
      </w:r>
      <w:r w:rsidR="00F6138B" w:rsidRPr="00644F82">
        <w:rPr>
          <w:color w:val="000000" w:themeColor="text1"/>
        </w:rPr>
        <w:t xml:space="preserve"> such as Kamala Harris as Rosie</w:t>
      </w:r>
      <w:r w:rsidR="00FF0AF3" w:rsidRPr="00644F82">
        <w:rPr>
          <w:color w:val="000000" w:themeColor="text1"/>
        </w:rPr>
        <w:t xml:space="preserve">, </w:t>
      </w:r>
      <w:r w:rsidR="00F6138B" w:rsidRPr="00644F82">
        <w:rPr>
          <w:color w:val="000000" w:themeColor="text1"/>
        </w:rPr>
        <w:t>should be, at the very least, critically examined rather than uncritically celebrated</w:t>
      </w:r>
      <w:r w:rsidR="00C313CB" w:rsidRPr="00644F82">
        <w:rPr>
          <w:bCs/>
          <w:color w:val="000000" w:themeColor="text1"/>
        </w:rPr>
        <w:t xml:space="preserve"> </w:t>
      </w:r>
      <w:r w:rsidR="00FF0AF3" w:rsidRPr="00644F82">
        <w:rPr>
          <w:bCs/>
          <w:color w:val="000000" w:themeColor="text1"/>
        </w:rPr>
        <w:t xml:space="preserve">in popular culture </w:t>
      </w:r>
      <w:r w:rsidR="00C313CB" w:rsidRPr="00644F82">
        <w:rPr>
          <w:color w:val="000000" w:themeColor="text1"/>
        </w:rPr>
        <w:t xml:space="preserve">(see figure </w:t>
      </w:r>
      <w:r w:rsidR="00D624C9" w:rsidRPr="00644F82">
        <w:rPr>
          <w:color w:val="000000" w:themeColor="text1"/>
        </w:rPr>
        <w:t>11</w:t>
      </w:r>
      <w:r w:rsidR="00C313CB" w:rsidRPr="00644F82">
        <w:rPr>
          <w:color w:val="000000" w:themeColor="text1"/>
        </w:rPr>
        <w:t>).</w:t>
      </w:r>
      <w:r w:rsidR="001D567E" w:rsidRPr="00644F82">
        <w:rPr>
          <w:rStyle w:val="FootnoteReference"/>
          <w:bCs/>
          <w:color w:val="000000" w:themeColor="text1"/>
        </w:rPr>
        <w:footnoteReference w:id="63"/>
      </w:r>
      <w:r w:rsidR="001D567E" w:rsidRPr="00644F82">
        <w:rPr>
          <w:bCs/>
          <w:color w:val="000000" w:themeColor="text1"/>
        </w:rPr>
        <w:t xml:space="preserve"> </w:t>
      </w:r>
      <w:r w:rsidR="00F6138B" w:rsidRPr="00644F82">
        <w:rPr>
          <w:color w:val="000000" w:themeColor="text1"/>
        </w:rPr>
        <w:t xml:space="preserve">They may appear empowering on the surface, yet, as this paper has shown, the underlying messages express a limited view of women. </w:t>
      </w:r>
      <w:r w:rsidR="00D51DE2" w:rsidRPr="00644F82">
        <w:rPr>
          <w:color w:val="000000" w:themeColor="text1"/>
        </w:rPr>
        <w:t>Furthermore, by</w:t>
      </w:r>
      <w:r w:rsidR="00F04874" w:rsidRPr="00644F82">
        <w:rPr>
          <w:color w:val="000000" w:themeColor="text1"/>
        </w:rPr>
        <w:t xml:space="preserve"> </w:t>
      </w:r>
      <w:r w:rsidR="00B1436D" w:rsidRPr="00644F82">
        <w:rPr>
          <w:color w:val="000000" w:themeColor="text1"/>
        </w:rPr>
        <w:t>critically analyzing and recognizing this distinction of historical purpose</w:t>
      </w:r>
      <w:r w:rsidR="00FF0AF3" w:rsidRPr="00644F82">
        <w:rPr>
          <w:color w:val="000000" w:themeColor="text1"/>
        </w:rPr>
        <w:t>,</w:t>
      </w:r>
      <w:r w:rsidR="00B1436D" w:rsidRPr="00644F82">
        <w:rPr>
          <w:color w:val="000000" w:themeColor="text1"/>
        </w:rPr>
        <w:t xml:space="preserve"> </w:t>
      </w:r>
      <w:r w:rsidR="00F6138B" w:rsidRPr="00644F82">
        <w:rPr>
          <w:color w:val="000000" w:themeColor="text1"/>
        </w:rPr>
        <w:t>we can reclaim Rosie</w:t>
      </w:r>
      <w:r w:rsidR="00D51DE2" w:rsidRPr="00644F82">
        <w:rPr>
          <w:color w:val="000000" w:themeColor="text1"/>
        </w:rPr>
        <w:t xml:space="preserve"> </w:t>
      </w:r>
      <w:r w:rsidR="00F6138B" w:rsidRPr="00644F82">
        <w:rPr>
          <w:color w:val="000000" w:themeColor="text1"/>
        </w:rPr>
        <w:t xml:space="preserve">in a </w:t>
      </w:r>
      <w:r w:rsidR="00C3674F" w:rsidRPr="00644F82">
        <w:rPr>
          <w:color w:val="000000" w:themeColor="text1"/>
        </w:rPr>
        <w:t>sense</w:t>
      </w:r>
      <w:r w:rsidR="00F6138B" w:rsidRPr="00644F82">
        <w:rPr>
          <w:color w:val="000000" w:themeColor="text1"/>
        </w:rPr>
        <w:t xml:space="preserve">. </w:t>
      </w:r>
      <w:r w:rsidR="00D51DE2" w:rsidRPr="00644F82">
        <w:rPr>
          <w:color w:val="000000" w:themeColor="text1"/>
        </w:rPr>
        <w:lastRenderedPageBreak/>
        <w:t>Her</w:t>
      </w:r>
      <w:r w:rsidR="00F04874" w:rsidRPr="00644F82">
        <w:rPr>
          <w:color w:val="000000" w:themeColor="text1"/>
        </w:rPr>
        <w:t xml:space="preserve"> historical memory </w:t>
      </w:r>
      <w:r w:rsidR="00D51DE2" w:rsidRPr="00644F82">
        <w:rPr>
          <w:color w:val="000000" w:themeColor="text1"/>
        </w:rPr>
        <w:t xml:space="preserve">can be separated </w:t>
      </w:r>
      <w:r w:rsidR="00F04874" w:rsidRPr="00644F82">
        <w:rPr>
          <w:color w:val="000000" w:themeColor="text1"/>
        </w:rPr>
        <w:t>from her historical purpose, a</w:t>
      </w:r>
      <w:r w:rsidR="00B1436D" w:rsidRPr="00644F82">
        <w:rPr>
          <w:color w:val="000000" w:themeColor="text1"/>
        </w:rPr>
        <w:t xml:space="preserve">nd </w:t>
      </w:r>
      <w:r w:rsidR="00D51DE2" w:rsidRPr="00644F82">
        <w:rPr>
          <w:color w:val="000000" w:themeColor="text1"/>
        </w:rPr>
        <w:t>in</w:t>
      </w:r>
      <w:r w:rsidR="00B1436D" w:rsidRPr="00644F82">
        <w:rPr>
          <w:color w:val="000000" w:themeColor="text1"/>
        </w:rPr>
        <w:t xml:space="preserve"> doing so, </w:t>
      </w:r>
      <w:r w:rsidR="00F04874" w:rsidRPr="00644F82">
        <w:rPr>
          <w:color w:val="000000" w:themeColor="text1"/>
        </w:rPr>
        <w:t>she</w:t>
      </w:r>
      <w:r w:rsidR="00F6138B" w:rsidRPr="00644F82">
        <w:rPr>
          <w:color w:val="000000" w:themeColor="text1"/>
        </w:rPr>
        <w:t xml:space="preserve"> </w:t>
      </w:r>
      <w:r w:rsidR="00D51DE2" w:rsidRPr="00644F82">
        <w:rPr>
          <w:color w:val="000000" w:themeColor="text1"/>
        </w:rPr>
        <w:t>serves</w:t>
      </w:r>
      <w:r w:rsidR="00F6138B" w:rsidRPr="00644F82">
        <w:rPr>
          <w:color w:val="000000" w:themeColor="text1"/>
        </w:rPr>
        <w:t xml:space="preserve"> as a complex artifact</w:t>
      </w:r>
      <w:r w:rsidR="00D51DE2" w:rsidRPr="00644F82">
        <w:rPr>
          <w:color w:val="000000" w:themeColor="text1"/>
        </w:rPr>
        <w:t xml:space="preserve">, </w:t>
      </w:r>
      <w:r w:rsidR="00F04874" w:rsidRPr="00644F82">
        <w:rPr>
          <w:color w:val="000000" w:themeColor="text1"/>
        </w:rPr>
        <w:t xml:space="preserve">ultimately </w:t>
      </w:r>
      <w:r w:rsidR="00D51DE2" w:rsidRPr="00644F82">
        <w:rPr>
          <w:color w:val="000000" w:themeColor="text1"/>
        </w:rPr>
        <w:t>highlighting</w:t>
      </w:r>
      <w:r w:rsidR="00F04874" w:rsidRPr="00644F82">
        <w:rPr>
          <w:color w:val="000000" w:themeColor="text1"/>
        </w:rPr>
        <w:t xml:space="preserve"> </w:t>
      </w:r>
      <w:r w:rsidR="00D51DE2" w:rsidRPr="00644F82">
        <w:rPr>
          <w:color w:val="000000" w:themeColor="text1"/>
        </w:rPr>
        <w:t>the importance of understanding a person, place, or thing in its historical context</w:t>
      </w:r>
      <w:r w:rsidR="00F6138B" w:rsidRPr="00644F82">
        <w:rPr>
          <w:color w:val="000000" w:themeColor="text1"/>
        </w:rPr>
        <w:t>.</w:t>
      </w:r>
    </w:p>
    <w:p w14:paraId="7926D529" w14:textId="77777777" w:rsidR="0040359F" w:rsidRPr="00644F82" w:rsidRDefault="0040359F" w:rsidP="002169AA">
      <w:pPr>
        <w:jc w:val="center"/>
        <w:rPr>
          <w:color w:val="000000" w:themeColor="text1"/>
        </w:rPr>
      </w:pPr>
    </w:p>
    <w:p w14:paraId="4A6A32DB" w14:textId="61CC906F" w:rsidR="002169AA" w:rsidRPr="00644F82" w:rsidRDefault="002169AA" w:rsidP="0040359F">
      <w:pPr>
        <w:jc w:val="center"/>
        <w:rPr>
          <w:color w:val="000000" w:themeColor="text1"/>
        </w:rPr>
      </w:pPr>
      <w:r w:rsidRPr="00644F82">
        <w:rPr>
          <w:color w:val="000000" w:themeColor="text1"/>
        </w:rPr>
        <w:lastRenderedPageBreak/>
        <w:t>Appendix</w:t>
      </w:r>
      <w:r w:rsidR="00F66D20" w:rsidRPr="00644F82">
        <w:rPr>
          <w:noProof/>
          <w:color w:val="000000" w:themeColor="text1"/>
        </w:rPr>
        <mc:AlternateContent>
          <mc:Choice Requires="wps">
            <w:drawing>
              <wp:anchor distT="0" distB="0" distL="114300" distR="114300" simplePos="0" relativeHeight="251727872" behindDoc="1" locked="0" layoutInCell="1" allowOverlap="1" wp14:anchorId="0D81632F" wp14:editId="35E620EA">
                <wp:simplePos x="0" y="0"/>
                <wp:positionH relativeFrom="column">
                  <wp:posOffset>158750</wp:posOffset>
                </wp:positionH>
                <wp:positionV relativeFrom="paragraph">
                  <wp:posOffset>7258050</wp:posOffset>
                </wp:positionV>
                <wp:extent cx="5620385" cy="635"/>
                <wp:effectExtent l="0" t="0" r="5715" b="12065"/>
                <wp:wrapTight wrapText="bothSides">
                  <wp:wrapPolygon edited="0">
                    <wp:start x="0" y="0"/>
                    <wp:lineTo x="0" y="0"/>
                    <wp:lineTo x="21573" y="0"/>
                    <wp:lineTo x="21573" y="0"/>
                    <wp:lineTo x="0" y="0"/>
                  </wp:wrapPolygon>
                </wp:wrapTight>
                <wp:docPr id="1776520672" name="Text Box 1"/>
                <wp:cNvGraphicFramePr/>
                <a:graphic xmlns:a="http://schemas.openxmlformats.org/drawingml/2006/main">
                  <a:graphicData uri="http://schemas.microsoft.com/office/word/2010/wordprocessingShape">
                    <wps:wsp>
                      <wps:cNvSpPr txBox="1"/>
                      <wps:spPr>
                        <a:xfrm>
                          <a:off x="0" y="0"/>
                          <a:ext cx="5620385" cy="635"/>
                        </a:xfrm>
                        <a:prstGeom prst="rect">
                          <a:avLst/>
                        </a:prstGeom>
                        <a:solidFill>
                          <a:prstClr val="white"/>
                        </a:solidFill>
                        <a:ln>
                          <a:noFill/>
                        </a:ln>
                      </wps:spPr>
                      <wps:txbx>
                        <w:txbxContent>
                          <w:p w14:paraId="49909745" w14:textId="2E830507"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1</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D81632F" id="_x0000_t202" coordsize="21600,21600" o:spt="202" path="m,l,21600r21600,l21600,xe">
                <v:stroke joinstyle="miter"/>
                <v:path gradientshapeok="t" o:connecttype="rect"/>
              </v:shapetype>
              <v:shape id="Text Box 1" o:spid="_x0000_s1026" type="#_x0000_t202" style="position:absolute;left:0;text-align:left;margin-left:12.5pt;margin-top:571.5pt;width:442.55pt;height:.05pt;z-index:-25158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" stroked="f">
                <v:textbox style="mso-fit-shape-to-text:t" inset="0,0,0,0">
                  <w:txbxContent>
                    <w:p w14:paraId="49909745" w14:textId="2E830507"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1</w:t>
                      </w:r>
                      <w:r w:rsidRPr="00F66D20">
                        <w:rPr>
                          <w:sz w:val="24"/>
                          <w:szCs w:val="24"/>
                        </w:rPr>
                        <w:fldChar w:fldCharType="end"/>
                      </w:r>
                    </w:p>
                  </w:txbxContent>
                </v:textbox>
                <w10:wrap type="tight"/>
              </v:shape>
            </w:pict>
          </mc:Fallback>
        </mc:AlternateContent>
      </w:r>
      <w:r w:rsidRPr="00644F82">
        <w:rPr>
          <w:noProof/>
          <w:color w:val="000000" w:themeColor="text1"/>
        </w:rPr>
        <w:drawing>
          <wp:anchor distT="0" distB="0" distL="114300" distR="114300" simplePos="0" relativeHeight="251668480" behindDoc="1" locked="0" layoutInCell="1" allowOverlap="1" wp14:anchorId="45F8B788" wp14:editId="03096FA8">
            <wp:simplePos x="0" y="0"/>
            <wp:positionH relativeFrom="margin">
              <wp:align>center</wp:align>
            </wp:positionH>
            <wp:positionV relativeFrom="paragraph">
              <wp:posOffset>251460</wp:posOffset>
            </wp:positionV>
            <wp:extent cx="5620385" cy="6949440"/>
            <wp:effectExtent l="0" t="0" r="5715" b="0"/>
            <wp:wrapTight wrapText="bothSides">
              <wp:wrapPolygon edited="0">
                <wp:start x="0" y="0"/>
                <wp:lineTo x="0" y="21553"/>
                <wp:lineTo x="21573" y="21553"/>
                <wp:lineTo x="21573" y="0"/>
                <wp:lineTo x="0" y="0"/>
              </wp:wrapPolygon>
            </wp:wrapTight>
            <wp:docPr id="1750241255" name="image5.png" descr="A poster of a person with a red headband and a blue shir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5.png" descr="A poster of a person with a red headband and a blue shirt&#10;&#10;AI-generated content may be incorrect."/>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5620385" cy="6949440"/>
                    </a:xfrm>
                    <a:prstGeom prst="rect">
                      <a:avLst/>
                    </a:prstGeom>
                    <a:ln/>
                  </pic:spPr>
                </pic:pic>
              </a:graphicData>
            </a:graphic>
            <wp14:sizeRelH relativeFrom="page">
              <wp14:pctWidth>0</wp14:pctWidth>
            </wp14:sizeRelH>
            <wp14:sizeRelV relativeFrom="page">
              <wp14:pctHeight>0</wp14:pctHeight>
            </wp14:sizeRelV>
          </wp:anchor>
        </w:drawing>
      </w:r>
    </w:p>
    <w:p w14:paraId="742F98E7" w14:textId="50C5661C" w:rsidR="002169AA" w:rsidRPr="00644F82" w:rsidRDefault="002169AA" w:rsidP="002169AA">
      <w:pPr>
        <w:jc w:val="center"/>
        <w:rPr>
          <w:color w:val="000000" w:themeColor="text1"/>
        </w:rPr>
      </w:pPr>
    </w:p>
    <w:p w14:paraId="514B764D" w14:textId="3A916ABD" w:rsidR="002169AA" w:rsidRPr="00644F82" w:rsidRDefault="002169AA" w:rsidP="002169AA">
      <w:pPr>
        <w:jc w:val="center"/>
        <w:rPr>
          <w:color w:val="000000" w:themeColor="text1"/>
        </w:rPr>
      </w:pPr>
    </w:p>
    <w:p w14:paraId="17459F4D" w14:textId="77777777" w:rsidR="0049470B" w:rsidRPr="00644F82" w:rsidRDefault="0049470B" w:rsidP="002169AA">
      <w:pPr>
        <w:rPr>
          <w:color w:val="000000" w:themeColor="text1"/>
        </w:rPr>
      </w:pPr>
    </w:p>
    <w:p w14:paraId="0D80762A" w14:textId="35BC7698" w:rsidR="0049470B" w:rsidRPr="00644F82" w:rsidRDefault="00F66D20" w:rsidP="002169AA">
      <w:pPr>
        <w:rPr>
          <w:color w:val="000000" w:themeColor="text1"/>
        </w:rPr>
      </w:pPr>
      <w:r w:rsidRPr="00644F82">
        <w:rPr>
          <w:noProof/>
          <w:color w:val="000000" w:themeColor="text1"/>
        </w:rPr>
        <w:lastRenderedPageBreak/>
        <mc:AlternateContent>
          <mc:Choice Requires="wps">
            <w:drawing>
              <wp:anchor distT="0" distB="0" distL="114300" distR="114300" simplePos="0" relativeHeight="251729920" behindDoc="1" locked="0" layoutInCell="1" allowOverlap="1" wp14:anchorId="1A1E85A7" wp14:editId="7F3F99A8">
                <wp:simplePos x="0" y="0"/>
                <wp:positionH relativeFrom="column">
                  <wp:posOffset>184150</wp:posOffset>
                </wp:positionH>
                <wp:positionV relativeFrom="paragraph">
                  <wp:posOffset>7799070</wp:posOffset>
                </wp:positionV>
                <wp:extent cx="5571490" cy="635"/>
                <wp:effectExtent l="0" t="0" r="3810" b="12065"/>
                <wp:wrapTight wrapText="bothSides">
                  <wp:wrapPolygon edited="0">
                    <wp:start x="0" y="0"/>
                    <wp:lineTo x="0" y="0"/>
                    <wp:lineTo x="21566" y="0"/>
                    <wp:lineTo x="21566" y="0"/>
                    <wp:lineTo x="0" y="0"/>
                  </wp:wrapPolygon>
                </wp:wrapTight>
                <wp:docPr id="481992845" name="Text Box 1"/>
                <wp:cNvGraphicFramePr/>
                <a:graphic xmlns:a="http://schemas.openxmlformats.org/drawingml/2006/main">
                  <a:graphicData uri="http://schemas.microsoft.com/office/word/2010/wordprocessingShape">
                    <wps:wsp>
                      <wps:cNvSpPr txBox="1"/>
                      <wps:spPr>
                        <a:xfrm>
                          <a:off x="0" y="0"/>
                          <a:ext cx="5571490" cy="635"/>
                        </a:xfrm>
                        <a:prstGeom prst="rect">
                          <a:avLst/>
                        </a:prstGeom>
                        <a:solidFill>
                          <a:prstClr val="white"/>
                        </a:solidFill>
                        <a:ln>
                          <a:noFill/>
                        </a:ln>
                      </wps:spPr>
                      <wps:txbx>
                        <w:txbxContent>
                          <w:p w14:paraId="0C4B099D" w14:textId="3E77CD16"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2</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1E85A7" id="_x0000_s1027" type="#_x0000_t202" style="position:absolute;margin-left:14.5pt;margin-top:614.1pt;width:438.7pt;height:.05pt;z-index:-251586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" stroked="f">
                <v:textbox style="mso-fit-shape-to-text:t" inset="0,0,0,0">
                  <w:txbxContent>
                    <w:p w14:paraId="0C4B099D" w14:textId="3E77CD16"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2</w:t>
                      </w:r>
                      <w:r w:rsidRPr="00F66D20">
                        <w:rPr>
                          <w:sz w:val="24"/>
                          <w:szCs w:val="24"/>
                        </w:rPr>
                        <w:fldChar w:fldCharType="end"/>
                      </w:r>
                    </w:p>
                  </w:txbxContent>
                </v:textbox>
                <w10:wrap type="tight"/>
              </v:shape>
            </w:pict>
          </mc:Fallback>
        </mc:AlternateContent>
      </w:r>
      <w:r w:rsidR="002169AA" w:rsidRPr="00644F82">
        <w:rPr>
          <w:noProof/>
          <w:color w:val="000000" w:themeColor="text1"/>
        </w:rPr>
        <w:drawing>
          <wp:anchor distT="0" distB="0" distL="114300" distR="114300" simplePos="0" relativeHeight="251717632" behindDoc="1" locked="0" layoutInCell="1" allowOverlap="1" wp14:anchorId="5D4E0AA8" wp14:editId="34C4D66D">
            <wp:simplePos x="0" y="0"/>
            <wp:positionH relativeFrom="margin">
              <wp:align>center</wp:align>
            </wp:positionH>
            <wp:positionV relativeFrom="paragraph">
              <wp:posOffset>0</wp:posOffset>
            </wp:positionV>
            <wp:extent cx="5571744" cy="7741920"/>
            <wp:effectExtent l="0" t="0" r="3810" b="5080"/>
            <wp:wrapTight wrapText="bothSides">
              <wp:wrapPolygon edited="0">
                <wp:start x="0" y="0"/>
                <wp:lineTo x="0" y="21579"/>
                <wp:lineTo x="21566" y="21579"/>
                <wp:lineTo x="21566" y="0"/>
                <wp:lineTo x="0" y="0"/>
              </wp:wrapPolygon>
            </wp:wrapTight>
            <wp:docPr id="2" name="image7.png" descr="A person holding an object and eating a sandwich&#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7.png" descr="A person holding an object and eating a sandwich&#10;&#10;AI-generated content may be incorrect."/>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5571744" cy="7741920"/>
                    </a:xfrm>
                    <a:prstGeom prst="rect">
                      <a:avLst/>
                    </a:prstGeom>
                    <a:ln/>
                  </pic:spPr>
                </pic:pic>
              </a:graphicData>
            </a:graphic>
            <wp14:sizeRelH relativeFrom="page">
              <wp14:pctWidth>0</wp14:pctWidth>
            </wp14:sizeRelH>
            <wp14:sizeRelV relativeFrom="page">
              <wp14:pctHeight>0</wp14:pctHeight>
            </wp14:sizeRelV>
          </wp:anchor>
        </w:drawing>
      </w:r>
    </w:p>
    <w:p w14:paraId="3EE8DC85" w14:textId="0019CECE" w:rsidR="0049470B" w:rsidRPr="00644F82" w:rsidRDefault="00F66D20" w:rsidP="002169AA">
      <w:pPr>
        <w:rPr>
          <w:color w:val="000000" w:themeColor="text1"/>
        </w:rPr>
      </w:pPr>
      <w:r w:rsidRPr="00644F82">
        <w:rPr>
          <w:noProof/>
          <w:color w:val="000000" w:themeColor="text1"/>
        </w:rPr>
        <w:lastRenderedPageBreak/>
        <mc:AlternateContent>
          <mc:Choice Requires="wps">
            <w:drawing>
              <wp:anchor distT="0" distB="0" distL="114300" distR="114300" simplePos="0" relativeHeight="251731968" behindDoc="1" locked="0" layoutInCell="1" allowOverlap="1" wp14:anchorId="3B0AB0D7" wp14:editId="44C0B8EF">
                <wp:simplePos x="0" y="0"/>
                <wp:positionH relativeFrom="column">
                  <wp:posOffset>485140</wp:posOffset>
                </wp:positionH>
                <wp:positionV relativeFrom="paragraph">
                  <wp:posOffset>7606030</wp:posOffset>
                </wp:positionV>
                <wp:extent cx="4889500" cy="635"/>
                <wp:effectExtent l="0" t="0" r="0" b="12065"/>
                <wp:wrapTight wrapText="bothSides">
                  <wp:wrapPolygon edited="0">
                    <wp:start x="0" y="0"/>
                    <wp:lineTo x="0" y="0"/>
                    <wp:lineTo x="21544" y="0"/>
                    <wp:lineTo x="21544" y="0"/>
                    <wp:lineTo x="0" y="0"/>
                  </wp:wrapPolygon>
                </wp:wrapTight>
                <wp:docPr id="1444924486" name="Text Box 1"/>
                <wp:cNvGraphicFramePr/>
                <a:graphic xmlns:a="http://schemas.openxmlformats.org/drawingml/2006/main">
                  <a:graphicData uri="http://schemas.microsoft.com/office/word/2010/wordprocessingShape">
                    <wps:wsp>
                      <wps:cNvSpPr txBox="1"/>
                      <wps:spPr>
                        <a:xfrm>
                          <a:off x="0" y="0"/>
                          <a:ext cx="4889500" cy="635"/>
                        </a:xfrm>
                        <a:prstGeom prst="rect">
                          <a:avLst/>
                        </a:prstGeom>
                        <a:solidFill>
                          <a:prstClr val="white"/>
                        </a:solidFill>
                        <a:ln>
                          <a:noFill/>
                        </a:ln>
                      </wps:spPr>
                      <wps:txbx>
                        <w:txbxContent>
                          <w:p w14:paraId="246312A7" w14:textId="55DDBB58"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3</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0AB0D7" id="_x0000_s1028" type="#_x0000_t202" style="position:absolute;margin-left:38.2pt;margin-top:598.9pt;width:385pt;height:.05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" stroked="f">
                <v:textbox style="mso-fit-shape-to-text:t" inset="0,0,0,0">
                  <w:txbxContent>
                    <w:p w14:paraId="246312A7" w14:textId="55DDBB58"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3</w:t>
                      </w:r>
                      <w:r w:rsidRPr="00F66D20">
                        <w:rPr>
                          <w:sz w:val="24"/>
                          <w:szCs w:val="24"/>
                        </w:rPr>
                        <w:fldChar w:fldCharType="end"/>
                      </w:r>
                    </w:p>
                  </w:txbxContent>
                </v:textbox>
                <w10:wrap type="tight"/>
              </v:shape>
            </w:pict>
          </mc:Fallback>
        </mc:AlternateContent>
      </w:r>
      <w:r w:rsidR="002169AA" w:rsidRPr="00644F82">
        <w:rPr>
          <w:noProof/>
          <w:color w:val="000000" w:themeColor="text1"/>
          <w14:ligatures w14:val="standardContextual"/>
        </w:rPr>
        <w:drawing>
          <wp:anchor distT="0" distB="0" distL="114300" distR="114300" simplePos="0" relativeHeight="251713536" behindDoc="1" locked="0" layoutInCell="1" allowOverlap="1" wp14:anchorId="2EE5AD71" wp14:editId="2C31D91B">
            <wp:simplePos x="0" y="0"/>
            <wp:positionH relativeFrom="margin">
              <wp:align>center</wp:align>
            </wp:positionH>
            <wp:positionV relativeFrom="paragraph">
              <wp:posOffset>254</wp:posOffset>
            </wp:positionV>
            <wp:extent cx="4889500" cy="7548880"/>
            <wp:effectExtent l="0" t="0" r="0" b="0"/>
            <wp:wrapTight wrapText="bothSides">
              <wp:wrapPolygon edited="0">
                <wp:start x="0" y="0"/>
                <wp:lineTo x="0" y="21549"/>
                <wp:lineTo x="21544" y="21549"/>
                <wp:lineTo x="21544" y="0"/>
                <wp:lineTo x="0" y="0"/>
              </wp:wrapPolygon>
            </wp:wrapTight>
            <wp:docPr id="599833363" name="Picture 1" descr="A person holding a dr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73591" name="Picture 1" descr="A person holding a drill&#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89500" cy="7548880"/>
                    </a:xfrm>
                    <a:prstGeom prst="rect">
                      <a:avLst/>
                    </a:prstGeom>
                  </pic:spPr>
                </pic:pic>
              </a:graphicData>
            </a:graphic>
            <wp14:sizeRelH relativeFrom="page">
              <wp14:pctWidth>0</wp14:pctWidth>
            </wp14:sizeRelH>
            <wp14:sizeRelV relativeFrom="page">
              <wp14:pctHeight>0</wp14:pctHeight>
            </wp14:sizeRelV>
          </wp:anchor>
        </w:drawing>
      </w:r>
    </w:p>
    <w:p w14:paraId="45DE005C" w14:textId="33141896" w:rsidR="0049470B" w:rsidRPr="00644F82" w:rsidRDefault="0049470B" w:rsidP="004206B9">
      <w:pPr>
        <w:jc w:val="center"/>
        <w:rPr>
          <w:color w:val="000000" w:themeColor="text1"/>
        </w:rPr>
      </w:pPr>
    </w:p>
    <w:p w14:paraId="29C28D53" w14:textId="2F08B8F1" w:rsidR="0049470B" w:rsidRPr="00644F82" w:rsidRDefault="0049470B" w:rsidP="004206B9">
      <w:pPr>
        <w:jc w:val="center"/>
        <w:rPr>
          <w:color w:val="000000" w:themeColor="text1"/>
        </w:rPr>
      </w:pPr>
    </w:p>
    <w:p w14:paraId="20F43F54" w14:textId="195AE09C" w:rsidR="002169AA" w:rsidRPr="00644F82" w:rsidRDefault="002169AA" w:rsidP="002169AA">
      <w:pPr>
        <w:rPr>
          <w:color w:val="000000" w:themeColor="text1"/>
        </w:rPr>
      </w:pPr>
    </w:p>
    <w:p w14:paraId="6821D6B3" w14:textId="713AF625" w:rsidR="002169AA" w:rsidRPr="00644F82" w:rsidRDefault="002169AA" w:rsidP="004206B9">
      <w:pPr>
        <w:jc w:val="center"/>
        <w:rPr>
          <w:color w:val="000000" w:themeColor="text1"/>
        </w:rPr>
      </w:pPr>
    </w:p>
    <w:p w14:paraId="494617EA" w14:textId="77777777" w:rsidR="002169AA" w:rsidRPr="00644F82" w:rsidRDefault="002169AA" w:rsidP="004206B9">
      <w:pPr>
        <w:jc w:val="center"/>
        <w:rPr>
          <w:color w:val="000000" w:themeColor="text1"/>
        </w:rPr>
      </w:pPr>
    </w:p>
    <w:p w14:paraId="0B28C6EB" w14:textId="09DBE374" w:rsidR="002169AA" w:rsidRPr="00644F82" w:rsidRDefault="002169AA" w:rsidP="004206B9">
      <w:pPr>
        <w:jc w:val="center"/>
        <w:rPr>
          <w:color w:val="000000" w:themeColor="text1"/>
        </w:rPr>
      </w:pPr>
    </w:p>
    <w:p w14:paraId="2F0A13F0" w14:textId="0CAE3DE2" w:rsidR="002169AA" w:rsidRPr="00644F82" w:rsidRDefault="002169AA" w:rsidP="004206B9">
      <w:pPr>
        <w:jc w:val="center"/>
        <w:rPr>
          <w:color w:val="000000" w:themeColor="text1"/>
        </w:rPr>
      </w:pPr>
    </w:p>
    <w:p w14:paraId="43DFD753" w14:textId="580A0120" w:rsidR="002169AA" w:rsidRPr="00644F82" w:rsidRDefault="002169AA" w:rsidP="004206B9">
      <w:pPr>
        <w:jc w:val="center"/>
        <w:rPr>
          <w:color w:val="000000" w:themeColor="text1"/>
        </w:rPr>
      </w:pPr>
    </w:p>
    <w:p w14:paraId="26C217D5" w14:textId="77777777" w:rsidR="002169AA" w:rsidRPr="00644F82" w:rsidRDefault="002169AA" w:rsidP="004206B9">
      <w:pPr>
        <w:jc w:val="center"/>
        <w:rPr>
          <w:color w:val="000000" w:themeColor="text1"/>
        </w:rPr>
      </w:pPr>
    </w:p>
    <w:p w14:paraId="7CF98F6F" w14:textId="77777777" w:rsidR="002169AA" w:rsidRPr="00644F82" w:rsidRDefault="002169AA" w:rsidP="004206B9">
      <w:pPr>
        <w:jc w:val="center"/>
        <w:rPr>
          <w:color w:val="000000" w:themeColor="text1"/>
        </w:rPr>
      </w:pPr>
    </w:p>
    <w:p w14:paraId="68A382BD" w14:textId="77777777" w:rsidR="002169AA" w:rsidRPr="00644F82" w:rsidRDefault="002169AA" w:rsidP="004206B9">
      <w:pPr>
        <w:jc w:val="center"/>
        <w:rPr>
          <w:color w:val="000000" w:themeColor="text1"/>
        </w:rPr>
      </w:pPr>
    </w:p>
    <w:p w14:paraId="76424847" w14:textId="77777777" w:rsidR="002169AA" w:rsidRPr="00644F82" w:rsidRDefault="002169AA" w:rsidP="004206B9">
      <w:pPr>
        <w:jc w:val="center"/>
        <w:rPr>
          <w:color w:val="000000" w:themeColor="text1"/>
        </w:rPr>
      </w:pPr>
    </w:p>
    <w:p w14:paraId="044A81C1" w14:textId="77777777" w:rsidR="0049470B" w:rsidRPr="00644F82" w:rsidRDefault="0049470B" w:rsidP="004206B9">
      <w:pPr>
        <w:jc w:val="center"/>
        <w:rPr>
          <w:color w:val="000000" w:themeColor="text1"/>
        </w:rPr>
      </w:pPr>
    </w:p>
    <w:p w14:paraId="1CB6ADC7" w14:textId="77777777" w:rsidR="002169AA" w:rsidRPr="00644F82" w:rsidRDefault="002169AA" w:rsidP="0049470B">
      <w:pPr>
        <w:rPr>
          <w:color w:val="000000" w:themeColor="text1"/>
        </w:rPr>
      </w:pPr>
    </w:p>
    <w:p w14:paraId="48DD04F5" w14:textId="77777777" w:rsidR="002169AA" w:rsidRPr="00644F82" w:rsidRDefault="002169AA" w:rsidP="0049470B">
      <w:pPr>
        <w:rPr>
          <w:color w:val="000000" w:themeColor="text1"/>
        </w:rPr>
      </w:pPr>
    </w:p>
    <w:p w14:paraId="33921515" w14:textId="77777777" w:rsidR="002169AA" w:rsidRPr="00644F82" w:rsidRDefault="002169AA" w:rsidP="0049470B">
      <w:pPr>
        <w:rPr>
          <w:color w:val="000000" w:themeColor="text1"/>
        </w:rPr>
      </w:pPr>
    </w:p>
    <w:p w14:paraId="52550941" w14:textId="77777777" w:rsidR="002169AA" w:rsidRPr="00644F82" w:rsidRDefault="002169AA" w:rsidP="0049470B">
      <w:pPr>
        <w:rPr>
          <w:color w:val="000000" w:themeColor="text1"/>
        </w:rPr>
      </w:pPr>
    </w:p>
    <w:p w14:paraId="73EED43A" w14:textId="77777777" w:rsidR="002169AA" w:rsidRPr="00644F82" w:rsidRDefault="002169AA" w:rsidP="0049470B">
      <w:pPr>
        <w:rPr>
          <w:color w:val="000000" w:themeColor="text1"/>
        </w:rPr>
      </w:pPr>
    </w:p>
    <w:p w14:paraId="2E0DBE33" w14:textId="77777777" w:rsidR="002169AA" w:rsidRPr="00644F82" w:rsidRDefault="002169AA" w:rsidP="0049470B">
      <w:pPr>
        <w:rPr>
          <w:color w:val="000000" w:themeColor="text1"/>
        </w:rPr>
      </w:pPr>
    </w:p>
    <w:p w14:paraId="0A934FDF" w14:textId="77777777" w:rsidR="002169AA" w:rsidRPr="00644F82" w:rsidRDefault="002169AA" w:rsidP="0049470B">
      <w:pPr>
        <w:rPr>
          <w:color w:val="000000" w:themeColor="text1"/>
        </w:rPr>
      </w:pPr>
    </w:p>
    <w:p w14:paraId="513CB202" w14:textId="77777777" w:rsidR="002169AA" w:rsidRPr="00644F82" w:rsidRDefault="002169AA" w:rsidP="0049470B">
      <w:pPr>
        <w:rPr>
          <w:color w:val="000000" w:themeColor="text1"/>
        </w:rPr>
      </w:pPr>
    </w:p>
    <w:p w14:paraId="47D30588" w14:textId="77777777" w:rsidR="002169AA" w:rsidRPr="00644F82" w:rsidRDefault="002169AA" w:rsidP="0049470B">
      <w:pPr>
        <w:rPr>
          <w:color w:val="000000" w:themeColor="text1"/>
        </w:rPr>
      </w:pPr>
    </w:p>
    <w:p w14:paraId="4D145809" w14:textId="77777777" w:rsidR="002169AA" w:rsidRPr="00644F82" w:rsidRDefault="002169AA" w:rsidP="0049470B">
      <w:pPr>
        <w:rPr>
          <w:color w:val="000000" w:themeColor="text1"/>
        </w:rPr>
      </w:pPr>
    </w:p>
    <w:p w14:paraId="3D99F8E3" w14:textId="77777777" w:rsidR="002169AA" w:rsidRPr="00644F82" w:rsidRDefault="002169AA" w:rsidP="0049470B">
      <w:pPr>
        <w:rPr>
          <w:color w:val="000000" w:themeColor="text1"/>
        </w:rPr>
      </w:pPr>
    </w:p>
    <w:p w14:paraId="006E12C4" w14:textId="77777777" w:rsidR="002169AA" w:rsidRPr="00644F82" w:rsidRDefault="002169AA" w:rsidP="0049470B">
      <w:pPr>
        <w:rPr>
          <w:color w:val="000000" w:themeColor="text1"/>
        </w:rPr>
      </w:pPr>
    </w:p>
    <w:p w14:paraId="3D508DB9" w14:textId="77777777" w:rsidR="002169AA" w:rsidRPr="00644F82" w:rsidRDefault="002169AA" w:rsidP="0049470B">
      <w:pPr>
        <w:rPr>
          <w:color w:val="000000" w:themeColor="text1"/>
        </w:rPr>
      </w:pPr>
    </w:p>
    <w:p w14:paraId="4F5B99F8" w14:textId="77777777" w:rsidR="002169AA" w:rsidRPr="00644F82" w:rsidRDefault="002169AA" w:rsidP="0049470B">
      <w:pPr>
        <w:rPr>
          <w:color w:val="000000" w:themeColor="text1"/>
        </w:rPr>
      </w:pPr>
    </w:p>
    <w:p w14:paraId="7CFBCE05" w14:textId="77777777" w:rsidR="002169AA" w:rsidRPr="00644F82" w:rsidRDefault="002169AA" w:rsidP="0049470B">
      <w:pPr>
        <w:rPr>
          <w:color w:val="000000" w:themeColor="text1"/>
        </w:rPr>
      </w:pPr>
    </w:p>
    <w:p w14:paraId="358AA1A7" w14:textId="77777777" w:rsidR="002169AA" w:rsidRPr="00644F82" w:rsidRDefault="002169AA" w:rsidP="0049470B">
      <w:pPr>
        <w:rPr>
          <w:color w:val="000000" w:themeColor="text1"/>
        </w:rPr>
      </w:pPr>
    </w:p>
    <w:p w14:paraId="15EF9766" w14:textId="77777777" w:rsidR="002169AA" w:rsidRPr="00644F82" w:rsidRDefault="002169AA" w:rsidP="0049470B">
      <w:pPr>
        <w:rPr>
          <w:color w:val="000000" w:themeColor="text1"/>
        </w:rPr>
      </w:pPr>
    </w:p>
    <w:p w14:paraId="5F357A9F" w14:textId="69BA6987" w:rsidR="002169AA" w:rsidRPr="00644F82" w:rsidRDefault="002169AA" w:rsidP="0049470B">
      <w:pPr>
        <w:rPr>
          <w:color w:val="000000" w:themeColor="text1"/>
        </w:rPr>
      </w:pPr>
    </w:p>
    <w:p w14:paraId="2D8C4D97" w14:textId="18E3F080" w:rsidR="002169AA" w:rsidRPr="00644F82" w:rsidRDefault="002169AA" w:rsidP="0049470B">
      <w:pPr>
        <w:rPr>
          <w:color w:val="000000" w:themeColor="text1"/>
        </w:rPr>
      </w:pPr>
    </w:p>
    <w:p w14:paraId="037F03FD" w14:textId="77777777" w:rsidR="002169AA" w:rsidRPr="00644F82" w:rsidRDefault="002169AA" w:rsidP="0049470B">
      <w:pPr>
        <w:rPr>
          <w:color w:val="000000" w:themeColor="text1"/>
        </w:rPr>
      </w:pPr>
    </w:p>
    <w:p w14:paraId="43522DE4" w14:textId="7753897F" w:rsidR="002169AA" w:rsidRPr="00644F82" w:rsidRDefault="002169AA" w:rsidP="0049470B">
      <w:pPr>
        <w:rPr>
          <w:color w:val="000000" w:themeColor="text1"/>
        </w:rPr>
      </w:pPr>
    </w:p>
    <w:p w14:paraId="112F282C" w14:textId="77777777" w:rsidR="002169AA" w:rsidRPr="00644F82" w:rsidRDefault="002169AA" w:rsidP="0049470B">
      <w:pPr>
        <w:rPr>
          <w:color w:val="000000" w:themeColor="text1"/>
        </w:rPr>
      </w:pPr>
    </w:p>
    <w:p w14:paraId="77CDC523" w14:textId="17C004FB" w:rsidR="002169AA" w:rsidRPr="00644F82" w:rsidRDefault="002169AA" w:rsidP="0049470B">
      <w:pPr>
        <w:rPr>
          <w:color w:val="000000" w:themeColor="text1"/>
        </w:rPr>
      </w:pPr>
    </w:p>
    <w:p w14:paraId="18A6E2EB" w14:textId="341F6999" w:rsidR="002169AA" w:rsidRPr="00644F82" w:rsidRDefault="002169AA" w:rsidP="0049470B">
      <w:pPr>
        <w:rPr>
          <w:color w:val="000000" w:themeColor="text1"/>
        </w:rPr>
      </w:pPr>
    </w:p>
    <w:p w14:paraId="487A5040" w14:textId="0116A23D" w:rsidR="002169AA" w:rsidRPr="00644F82" w:rsidRDefault="002169AA" w:rsidP="0049470B">
      <w:pPr>
        <w:rPr>
          <w:color w:val="000000" w:themeColor="text1"/>
        </w:rPr>
      </w:pPr>
    </w:p>
    <w:p w14:paraId="2D217500" w14:textId="2EF0F199" w:rsidR="002169AA" w:rsidRPr="00644F82" w:rsidRDefault="002169AA" w:rsidP="0049470B">
      <w:pPr>
        <w:rPr>
          <w:color w:val="000000" w:themeColor="text1"/>
        </w:rPr>
      </w:pPr>
    </w:p>
    <w:p w14:paraId="44B0DBE8" w14:textId="5F96F44D" w:rsidR="002169AA" w:rsidRPr="00644F82" w:rsidRDefault="002169AA" w:rsidP="0049470B">
      <w:pPr>
        <w:rPr>
          <w:color w:val="000000" w:themeColor="text1"/>
        </w:rPr>
      </w:pPr>
    </w:p>
    <w:p w14:paraId="72EC8977" w14:textId="7D7BEB4F" w:rsidR="002169AA" w:rsidRPr="00644F82" w:rsidRDefault="002169AA" w:rsidP="0049470B">
      <w:pPr>
        <w:rPr>
          <w:color w:val="000000" w:themeColor="text1"/>
        </w:rPr>
      </w:pPr>
    </w:p>
    <w:p w14:paraId="1A97FF6C" w14:textId="50A14120" w:rsidR="002169AA" w:rsidRPr="00644F82" w:rsidRDefault="002169AA" w:rsidP="0049470B">
      <w:pPr>
        <w:rPr>
          <w:color w:val="000000" w:themeColor="text1"/>
        </w:rPr>
      </w:pPr>
    </w:p>
    <w:p w14:paraId="1919D9CA" w14:textId="16276351" w:rsidR="002169AA" w:rsidRPr="00644F82" w:rsidRDefault="002169AA" w:rsidP="0049470B">
      <w:pPr>
        <w:rPr>
          <w:color w:val="000000" w:themeColor="text1"/>
        </w:rPr>
      </w:pPr>
    </w:p>
    <w:p w14:paraId="0F225FAE" w14:textId="1BE23C5A" w:rsidR="002169AA" w:rsidRPr="00644F82" w:rsidRDefault="002169AA" w:rsidP="0049470B">
      <w:pPr>
        <w:rPr>
          <w:color w:val="000000" w:themeColor="text1"/>
        </w:rPr>
      </w:pPr>
    </w:p>
    <w:p w14:paraId="5CA9B7A4" w14:textId="2E32A742" w:rsidR="002169AA" w:rsidRPr="00644F82" w:rsidRDefault="002169AA" w:rsidP="0049470B">
      <w:pPr>
        <w:rPr>
          <w:color w:val="000000" w:themeColor="text1"/>
        </w:rPr>
      </w:pPr>
    </w:p>
    <w:p w14:paraId="211EAA6B" w14:textId="01C64A86" w:rsidR="002169AA" w:rsidRPr="00644F82" w:rsidRDefault="00F66D20" w:rsidP="0049470B">
      <w:pPr>
        <w:rPr>
          <w:color w:val="000000" w:themeColor="text1"/>
        </w:rPr>
      </w:pPr>
      <w:r w:rsidRPr="00644F82">
        <w:rPr>
          <w:noProof/>
          <w:color w:val="000000" w:themeColor="text1"/>
        </w:rPr>
        <w:lastRenderedPageBreak/>
        <mc:AlternateContent>
          <mc:Choice Requires="wps">
            <w:drawing>
              <wp:anchor distT="0" distB="0" distL="114300" distR="114300" simplePos="0" relativeHeight="251734016" behindDoc="1" locked="0" layoutInCell="1" allowOverlap="1" wp14:anchorId="2F2599BF" wp14:editId="0068CDDB">
                <wp:simplePos x="0" y="0"/>
                <wp:positionH relativeFrom="column">
                  <wp:posOffset>12700</wp:posOffset>
                </wp:positionH>
                <wp:positionV relativeFrom="paragraph">
                  <wp:posOffset>7955915</wp:posOffset>
                </wp:positionV>
                <wp:extent cx="5913120" cy="635"/>
                <wp:effectExtent l="0" t="0" r="5080" b="12065"/>
                <wp:wrapTight wrapText="bothSides">
                  <wp:wrapPolygon edited="0">
                    <wp:start x="0" y="0"/>
                    <wp:lineTo x="0" y="0"/>
                    <wp:lineTo x="21572" y="0"/>
                    <wp:lineTo x="21572" y="0"/>
                    <wp:lineTo x="0" y="0"/>
                  </wp:wrapPolygon>
                </wp:wrapTight>
                <wp:docPr id="1839286635" name="Text Box 1"/>
                <wp:cNvGraphicFramePr/>
                <a:graphic xmlns:a="http://schemas.openxmlformats.org/drawingml/2006/main">
                  <a:graphicData uri="http://schemas.microsoft.com/office/word/2010/wordprocessingShape">
                    <wps:wsp>
                      <wps:cNvSpPr txBox="1"/>
                      <wps:spPr>
                        <a:xfrm>
                          <a:off x="0" y="0"/>
                          <a:ext cx="5913120" cy="635"/>
                        </a:xfrm>
                        <a:prstGeom prst="rect">
                          <a:avLst/>
                        </a:prstGeom>
                        <a:solidFill>
                          <a:prstClr val="white"/>
                        </a:solidFill>
                        <a:ln>
                          <a:noFill/>
                        </a:ln>
                      </wps:spPr>
                      <wps:txbx>
                        <w:txbxContent>
                          <w:p w14:paraId="3CA785D7" w14:textId="5DDA31BA"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4</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2599BF" id="_x0000_s1029" type="#_x0000_t202" style="position:absolute;margin-left:1pt;margin-top:626.45pt;width:465.6pt;height:.05pt;z-index:-25158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" stroked="f">
                <v:textbox style="mso-fit-shape-to-text:t" inset="0,0,0,0">
                  <w:txbxContent>
                    <w:p w14:paraId="3CA785D7" w14:textId="5DDA31BA"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4</w:t>
                      </w:r>
                      <w:r w:rsidRPr="00F66D20">
                        <w:rPr>
                          <w:sz w:val="24"/>
                          <w:szCs w:val="24"/>
                        </w:rPr>
                        <w:fldChar w:fldCharType="end"/>
                      </w:r>
                    </w:p>
                  </w:txbxContent>
                </v:textbox>
                <w10:wrap type="tight"/>
              </v:shape>
            </w:pict>
          </mc:Fallback>
        </mc:AlternateContent>
      </w:r>
      <w:r w:rsidR="002169AA" w:rsidRPr="00644F82">
        <w:rPr>
          <w:noProof/>
          <w:color w:val="000000" w:themeColor="text1"/>
        </w:rPr>
        <w:drawing>
          <wp:anchor distT="0" distB="0" distL="114300" distR="114300" simplePos="0" relativeHeight="251709440" behindDoc="1" locked="0" layoutInCell="1" allowOverlap="1" wp14:anchorId="4E086724" wp14:editId="0F62A7D8">
            <wp:simplePos x="0" y="0"/>
            <wp:positionH relativeFrom="margin">
              <wp:align>center</wp:align>
            </wp:positionH>
            <wp:positionV relativeFrom="paragraph">
              <wp:posOffset>0</wp:posOffset>
            </wp:positionV>
            <wp:extent cx="5913120" cy="7912100"/>
            <wp:effectExtent l="0" t="0" r="5080" b="0"/>
            <wp:wrapTight wrapText="bothSides">
              <wp:wrapPolygon edited="0">
                <wp:start x="0" y="0"/>
                <wp:lineTo x="0" y="21565"/>
                <wp:lineTo x="21572" y="21565"/>
                <wp:lineTo x="21572" y="0"/>
                <wp:lineTo x="0" y="0"/>
              </wp:wrapPolygon>
            </wp:wrapTight>
            <wp:docPr id="8" name="image3.png" descr="A person holding papers in her hands&#10;&#10;AI-generated content may be incorrect."/>
            <wp:cNvGraphicFramePr/>
            <a:graphic xmlns:a="http://schemas.openxmlformats.org/drawingml/2006/main">
              <a:graphicData uri="http://schemas.openxmlformats.org/drawingml/2006/picture">
                <pic:pic xmlns:pic="http://schemas.openxmlformats.org/drawingml/2006/picture">
                  <pic:nvPicPr>
                    <pic:cNvPr id="8" name="image3.png" descr="A person holding papers in her hands&#10;&#10;AI-generated content may be incorrect."/>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5913120" cy="7912100"/>
                    </a:xfrm>
                    <a:prstGeom prst="rect">
                      <a:avLst/>
                    </a:prstGeom>
                    <a:ln/>
                  </pic:spPr>
                </pic:pic>
              </a:graphicData>
            </a:graphic>
            <wp14:sizeRelH relativeFrom="page">
              <wp14:pctWidth>0</wp14:pctWidth>
            </wp14:sizeRelH>
            <wp14:sizeRelV relativeFrom="page">
              <wp14:pctHeight>0</wp14:pctHeight>
            </wp14:sizeRelV>
          </wp:anchor>
        </w:drawing>
      </w:r>
    </w:p>
    <w:p w14:paraId="5EF6696B" w14:textId="02B764C9" w:rsidR="002169AA" w:rsidRPr="00644F82" w:rsidRDefault="00F66D20" w:rsidP="0049470B">
      <w:pPr>
        <w:rPr>
          <w:color w:val="000000" w:themeColor="text1"/>
        </w:rPr>
      </w:pPr>
      <w:r w:rsidRPr="00644F82">
        <w:rPr>
          <w:noProof/>
          <w:color w:val="000000" w:themeColor="text1"/>
        </w:rPr>
        <w:lastRenderedPageBreak/>
        <mc:AlternateContent>
          <mc:Choice Requires="wps">
            <w:drawing>
              <wp:anchor distT="0" distB="0" distL="114300" distR="114300" simplePos="0" relativeHeight="251736064" behindDoc="1" locked="0" layoutInCell="1" allowOverlap="1" wp14:anchorId="50A216E9" wp14:editId="22818E29">
                <wp:simplePos x="0" y="0"/>
                <wp:positionH relativeFrom="column">
                  <wp:posOffset>412115</wp:posOffset>
                </wp:positionH>
                <wp:positionV relativeFrom="paragraph">
                  <wp:posOffset>7712710</wp:posOffset>
                </wp:positionV>
                <wp:extent cx="5120005" cy="635"/>
                <wp:effectExtent l="0" t="0" r="0" b="12065"/>
                <wp:wrapTight wrapText="bothSides">
                  <wp:wrapPolygon edited="0">
                    <wp:start x="0" y="0"/>
                    <wp:lineTo x="0" y="0"/>
                    <wp:lineTo x="21538" y="0"/>
                    <wp:lineTo x="21538" y="0"/>
                    <wp:lineTo x="0" y="0"/>
                  </wp:wrapPolygon>
                </wp:wrapTight>
                <wp:docPr id="1252810088" name="Text Box 1"/>
                <wp:cNvGraphicFramePr/>
                <a:graphic xmlns:a="http://schemas.openxmlformats.org/drawingml/2006/main">
                  <a:graphicData uri="http://schemas.microsoft.com/office/word/2010/wordprocessingShape">
                    <wps:wsp>
                      <wps:cNvSpPr txBox="1"/>
                      <wps:spPr>
                        <a:xfrm>
                          <a:off x="0" y="0"/>
                          <a:ext cx="5120005" cy="635"/>
                        </a:xfrm>
                        <a:prstGeom prst="rect">
                          <a:avLst/>
                        </a:prstGeom>
                        <a:solidFill>
                          <a:prstClr val="white"/>
                        </a:solidFill>
                        <a:ln>
                          <a:noFill/>
                        </a:ln>
                      </wps:spPr>
                      <wps:txbx>
                        <w:txbxContent>
                          <w:p w14:paraId="17C1D93B" w14:textId="2FF44F65"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5</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A216E9" id="_x0000_s1030" type="#_x0000_t202" style="position:absolute;margin-left:32.45pt;margin-top:607.3pt;width:403.15pt;height:.05pt;z-index:-251580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" stroked="f">
                <v:textbox style="mso-fit-shape-to-text:t" inset="0,0,0,0">
                  <w:txbxContent>
                    <w:p w14:paraId="17C1D93B" w14:textId="2FF44F65"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5</w:t>
                      </w:r>
                      <w:r w:rsidRPr="00F66D20">
                        <w:rPr>
                          <w:sz w:val="24"/>
                          <w:szCs w:val="24"/>
                        </w:rPr>
                        <w:fldChar w:fldCharType="end"/>
                      </w:r>
                    </w:p>
                  </w:txbxContent>
                </v:textbox>
                <w10:wrap type="tight"/>
              </v:shape>
            </w:pict>
          </mc:Fallback>
        </mc:AlternateContent>
      </w:r>
      <w:r w:rsidR="002169AA" w:rsidRPr="00644F82">
        <w:rPr>
          <w:noProof/>
          <w:color w:val="000000" w:themeColor="text1"/>
        </w:rPr>
        <w:drawing>
          <wp:anchor distT="0" distB="0" distL="114300" distR="114300" simplePos="0" relativeHeight="251705344" behindDoc="1" locked="0" layoutInCell="1" allowOverlap="1" wp14:anchorId="21A9794A" wp14:editId="15D79DA4">
            <wp:simplePos x="0" y="0"/>
            <wp:positionH relativeFrom="margin">
              <wp:align>center</wp:align>
            </wp:positionH>
            <wp:positionV relativeFrom="paragraph">
              <wp:posOffset>127</wp:posOffset>
            </wp:positionV>
            <wp:extent cx="5120005" cy="7655560"/>
            <wp:effectExtent l="0" t="0" r="0" b="2540"/>
            <wp:wrapTight wrapText="bothSides">
              <wp:wrapPolygon edited="0">
                <wp:start x="0" y="0"/>
                <wp:lineTo x="0" y="21571"/>
                <wp:lineTo x="21538" y="21571"/>
                <wp:lineTo x="21538" y="0"/>
                <wp:lineTo x="0" y="0"/>
              </wp:wrapPolygon>
            </wp:wrapTight>
            <wp:docPr id="6" name="image2.png" descr="A person and person standing next to each other&#10;&#10;AI-generated content may be incorrect."/>
            <wp:cNvGraphicFramePr/>
            <a:graphic xmlns:a="http://schemas.openxmlformats.org/drawingml/2006/main">
              <a:graphicData uri="http://schemas.openxmlformats.org/drawingml/2006/picture">
                <pic:pic xmlns:pic="http://schemas.openxmlformats.org/drawingml/2006/picture">
                  <pic:nvPicPr>
                    <pic:cNvPr id="6" name="image2.png" descr="A person and person standing next to each other&#10;&#10;AI-generated content may be incorrect."/>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5120005" cy="7655560"/>
                    </a:xfrm>
                    <a:prstGeom prst="rect">
                      <a:avLst/>
                    </a:prstGeom>
                    <a:ln/>
                  </pic:spPr>
                </pic:pic>
              </a:graphicData>
            </a:graphic>
            <wp14:sizeRelH relativeFrom="page">
              <wp14:pctWidth>0</wp14:pctWidth>
            </wp14:sizeRelH>
            <wp14:sizeRelV relativeFrom="page">
              <wp14:pctHeight>0</wp14:pctHeight>
            </wp14:sizeRelV>
          </wp:anchor>
        </w:drawing>
      </w:r>
    </w:p>
    <w:p w14:paraId="10100437" w14:textId="100D7630" w:rsidR="002169AA" w:rsidRPr="00644F82" w:rsidRDefault="002169AA" w:rsidP="0049470B">
      <w:pPr>
        <w:rPr>
          <w:color w:val="000000" w:themeColor="text1"/>
        </w:rPr>
      </w:pPr>
    </w:p>
    <w:p w14:paraId="7A011FEC" w14:textId="144C9B27" w:rsidR="002169AA" w:rsidRPr="00644F82" w:rsidRDefault="002169AA" w:rsidP="0049470B">
      <w:pPr>
        <w:rPr>
          <w:color w:val="000000" w:themeColor="text1"/>
        </w:rPr>
      </w:pPr>
    </w:p>
    <w:p w14:paraId="6746E086" w14:textId="77777777" w:rsidR="002169AA" w:rsidRPr="00644F82" w:rsidRDefault="002169AA" w:rsidP="0049470B">
      <w:pPr>
        <w:rPr>
          <w:color w:val="000000" w:themeColor="text1"/>
        </w:rPr>
      </w:pPr>
    </w:p>
    <w:p w14:paraId="67288B2E" w14:textId="77777777" w:rsidR="002169AA" w:rsidRPr="00644F82" w:rsidRDefault="002169AA" w:rsidP="0049470B">
      <w:pPr>
        <w:rPr>
          <w:color w:val="000000" w:themeColor="text1"/>
        </w:rPr>
      </w:pPr>
    </w:p>
    <w:p w14:paraId="04715F51" w14:textId="77777777" w:rsidR="002169AA" w:rsidRPr="00644F82" w:rsidRDefault="002169AA" w:rsidP="0049470B">
      <w:pPr>
        <w:rPr>
          <w:color w:val="000000" w:themeColor="text1"/>
        </w:rPr>
      </w:pPr>
    </w:p>
    <w:p w14:paraId="358CD42B" w14:textId="77777777" w:rsidR="002169AA" w:rsidRPr="00644F82" w:rsidRDefault="002169AA" w:rsidP="0049470B">
      <w:pPr>
        <w:rPr>
          <w:color w:val="000000" w:themeColor="text1"/>
        </w:rPr>
      </w:pPr>
    </w:p>
    <w:p w14:paraId="7A963EDC" w14:textId="77777777" w:rsidR="002169AA" w:rsidRPr="00644F82" w:rsidRDefault="002169AA" w:rsidP="0049470B">
      <w:pPr>
        <w:rPr>
          <w:color w:val="000000" w:themeColor="text1"/>
        </w:rPr>
      </w:pPr>
    </w:p>
    <w:p w14:paraId="3B2EE4ED" w14:textId="77777777" w:rsidR="002169AA" w:rsidRPr="00644F82" w:rsidRDefault="002169AA" w:rsidP="0049470B">
      <w:pPr>
        <w:rPr>
          <w:color w:val="000000" w:themeColor="text1"/>
        </w:rPr>
      </w:pPr>
    </w:p>
    <w:p w14:paraId="7ADA725A" w14:textId="77777777" w:rsidR="002169AA" w:rsidRPr="00644F82" w:rsidRDefault="002169AA" w:rsidP="0049470B">
      <w:pPr>
        <w:rPr>
          <w:color w:val="000000" w:themeColor="text1"/>
        </w:rPr>
      </w:pPr>
    </w:p>
    <w:p w14:paraId="28367D02" w14:textId="77777777" w:rsidR="002169AA" w:rsidRPr="00644F82" w:rsidRDefault="002169AA" w:rsidP="0049470B">
      <w:pPr>
        <w:rPr>
          <w:color w:val="000000" w:themeColor="text1"/>
        </w:rPr>
      </w:pPr>
    </w:p>
    <w:p w14:paraId="71DDE802" w14:textId="77777777" w:rsidR="002169AA" w:rsidRPr="00644F82" w:rsidRDefault="002169AA" w:rsidP="0049470B">
      <w:pPr>
        <w:rPr>
          <w:color w:val="000000" w:themeColor="text1"/>
        </w:rPr>
      </w:pPr>
    </w:p>
    <w:p w14:paraId="3CE153D9" w14:textId="77777777" w:rsidR="002169AA" w:rsidRPr="00644F82" w:rsidRDefault="002169AA" w:rsidP="0049470B">
      <w:pPr>
        <w:rPr>
          <w:color w:val="000000" w:themeColor="text1"/>
        </w:rPr>
      </w:pPr>
    </w:p>
    <w:p w14:paraId="4987D783" w14:textId="77777777" w:rsidR="002169AA" w:rsidRPr="00644F82" w:rsidRDefault="002169AA" w:rsidP="0049470B">
      <w:pPr>
        <w:rPr>
          <w:color w:val="000000" w:themeColor="text1"/>
        </w:rPr>
      </w:pPr>
    </w:p>
    <w:p w14:paraId="360D7174" w14:textId="77777777" w:rsidR="002169AA" w:rsidRPr="00644F82" w:rsidRDefault="002169AA" w:rsidP="0049470B">
      <w:pPr>
        <w:rPr>
          <w:color w:val="000000" w:themeColor="text1"/>
        </w:rPr>
      </w:pPr>
    </w:p>
    <w:p w14:paraId="1CE7E27F" w14:textId="77777777" w:rsidR="002169AA" w:rsidRPr="00644F82" w:rsidRDefault="002169AA" w:rsidP="0049470B">
      <w:pPr>
        <w:rPr>
          <w:color w:val="000000" w:themeColor="text1"/>
        </w:rPr>
      </w:pPr>
    </w:p>
    <w:p w14:paraId="311D8E41" w14:textId="77777777" w:rsidR="002169AA" w:rsidRPr="00644F82" w:rsidRDefault="002169AA" w:rsidP="0049470B">
      <w:pPr>
        <w:rPr>
          <w:color w:val="000000" w:themeColor="text1"/>
        </w:rPr>
      </w:pPr>
    </w:p>
    <w:p w14:paraId="202C53CC" w14:textId="77777777" w:rsidR="002169AA" w:rsidRPr="00644F82" w:rsidRDefault="002169AA" w:rsidP="0049470B">
      <w:pPr>
        <w:rPr>
          <w:color w:val="000000" w:themeColor="text1"/>
        </w:rPr>
      </w:pPr>
    </w:p>
    <w:p w14:paraId="53B6D3EA" w14:textId="77777777" w:rsidR="002169AA" w:rsidRPr="00644F82" w:rsidRDefault="002169AA" w:rsidP="0049470B">
      <w:pPr>
        <w:rPr>
          <w:color w:val="000000" w:themeColor="text1"/>
        </w:rPr>
      </w:pPr>
    </w:p>
    <w:p w14:paraId="3D081C73" w14:textId="77777777" w:rsidR="002169AA" w:rsidRPr="00644F82" w:rsidRDefault="002169AA" w:rsidP="0049470B">
      <w:pPr>
        <w:rPr>
          <w:color w:val="000000" w:themeColor="text1"/>
        </w:rPr>
      </w:pPr>
    </w:p>
    <w:p w14:paraId="359F3A13" w14:textId="77777777" w:rsidR="002169AA" w:rsidRPr="00644F82" w:rsidRDefault="002169AA" w:rsidP="0049470B">
      <w:pPr>
        <w:rPr>
          <w:color w:val="000000" w:themeColor="text1"/>
        </w:rPr>
      </w:pPr>
    </w:p>
    <w:p w14:paraId="319B44A5" w14:textId="77777777" w:rsidR="002169AA" w:rsidRPr="00644F82" w:rsidRDefault="002169AA" w:rsidP="0049470B">
      <w:pPr>
        <w:rPr>
          <w:color w:val="000000" w:themeColor="text1"/>
        </w:rPr>
      </w:pPr>
    </w:p>
    <w:p w14:paraId="5B5819FC" w14:textId="77777777" w:rsidR="002169AA" w:rsidRPr="00644F82" w:rsidRDefault="002169AA" w:rsidP="0049470B">
      <w:pPr>
        <w:rPr>
          <w:color w:val="000000" w:themeColor="text1"/>
        </w:rPr>
      </w:pPr>
    </w:p>
    <w:p w14:paraId="68989B34" w14:textId="77777777" w:rsidR="002169AA" w:rsidRPr="00644F82" w:rsidRDefault="002169AA" w:rsidP="0049470B">
      <w:pPr>
        <w:rPr>
          <w:color w:val="000000" w:themeColor="text1"/>
        </w:rPr>
      </w:pPr>
    </w:p>
    <w:p w14:paraId="76A4E087" w14:textId="77777777" w:rsidR="002169AA" w:rsidRPr="00644F82" w:rsidRDefault="002169AA" w:rsidP="0049470B">
      <w:pPr>
        <w:rPr>
          <w:color w:val="000000" w:themeColor="text1"/>
        </w:rPr>
      </w:pPr>
    </w:p>
    <w:p w14:paraId="589C398D" w14:textId="77777777" w:rsidR="002169AA" w:rsidRPr="00644F82" w:rsidRDefault="002169AA" w:rsidP="0049470B">
      <w:pPr>
        <w:rPr>
          <w:color w:val="000000" w:themeColor="text1"/>
        </w:rPr>
      </w:pPr>
    </w:p>
    <w:p w14:paraId="75103D52" w14:textId="0BC75860" w:rsidR="002169AA" w:rsidRPr="00644F82" w:rsidRDefault="002169AA" w:rsidP="0049470B">
      <w:pPr>
        <w:rPr>
          <w:color w:val="000000" w:themeColor="text1"/>
        </w:rPr>
      </w:pPr>
    </w:p>
    <w:p w14:paraId="1DD34E18" w14:textId="396FDA6E" w:rsidR="002169AA" w:rsidRPr="00644F82" w:rsidRDefault="00F66D20" w:rsidP="0049470B">
      <w:pPr>
        <w:rPr>
          <w:color w:val="000000" w:themeColor="text1"/>
        </w:rPr>
      </w:pPr>
      <w:r w:rsidRPr="00644F82">
        <w:rPr>
          <w:noProof/>
          <w:color w:val="000000" w:themeColor="text1"/>
        </w:rPr>
        <w:lastRenderedPageBreak/>
        <mc:AlternateContent>
          <mc:Choice Requires="wps">
            <w:drawing>
              <wp:anchor distT="0" distB="0" distL="114300" distR="114300" simplePos="0" relativeHeight="251738112" behindDoc="1" locked="0" layoutInCell="1" allowOverlap="1" wp14:anchorId="131B8734" wp14:editId="5CB72289">
                <wp:simplePos x="0" y="0"/>
                <wp:positionH relativeFrom="column">
                  <wp:posOffset>-185420</wp:posOffset>
                </wp:positionH>
                <wp:positionV relativeFrom="paragraph">
                  <wp:posOffset>4544695</wp:posOffset>
                </wp:positionV>
                <wp:extent cx="6315075" cy="635"/>
                <wp:effectExtent l="0" t="0" r="0" b="12065"/>
                <wp:wrapTight wrapText="bothSides">
                  <wp:wrapPolygon edited="0">
                    <wp:start x="0" y="0"/>
                    <wp:lineTo x="0" y="0"/>
                    <wp:lineTo x="21546" y="0"/>
                    <wp:lineTo x="21546" y="0"/>
                    <wp:lineTo x="0" y="0"/>
                  </wp:wrapPolygon>
                </wp:wrapTight>
                <wp:docPr id="436859332" name="Text Box 1"/>
                <wp:cNvGraphicFramePr/>
                <a:graphic xmlns:a="http://schemas.openxmlformats.org/drawingml/2006/main">
                  <a:graphicData uri="http://schemas.microsoft.com/office/word/2010/wordprocessingShape">
                    <wps:wsp>
                      <wps:cNvSpPr txBox="1"/>
                      <wps:spPr>
                        <a:xfrm>
                          <a:off x="0" y="0"/>
                          <a:ext cx="6315075" cy="635"/>
                        </a:xfrm>
                        <a:prstGeom prst="rect">
                          <a:avLst/>
                        </a:prstGeom>
                        <a:solidFill>
                          <a:prstClr val="white"/>
                        </a:solidFill>
                        <a:ln>
                          <a:noFill/>
                        </a:ln>
                      </wps:spPr>
                      <wps:txbx>
                        <w:txbxContent>
                          <w:p w14:paraId="6584F9CB" w14:textId="2B466BA3"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6</w:t>
                            </w:r>
                            <w:r w:rsidRPr="00F66D20">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1B8734" id="_x0000_s1031" type="#_x0000_t202" style="position:absolute;margin-left:-14.6pt;margin-top:357.85pt;width:497.25pt;height:.05pt;z-index:-25157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" stroked="f">
                <v:textbox style="mso-fit-shape-to-text:t" inset="0,0,0,0">
                  <w:txbxContent>
                    <w:p w14:paraId="6584F9CB" w14:textId="2B466BA3" w:rsidR="00F66D20" w:rsidRPr="00F66D20" w:rsidRDefault="00F66D20" w:rsidP="00F66D20">
                      <w:pPr>
                        <w:pStyle w:val="Caption"/>
                        <w:rPr>
                          <w:noProof/>
                          <w:color w:val="000000" w:themeColor="text1"/>
                          <w:sz w:val="24"/>
                          <w:szCs w:val="24"/>
                        </w:rPr>
                      </w:pPr>
                      <w:r w:rsidRPr="00F66D20">
                        <w:rPr>
                          <w:sz w:val="24"/>
                          <w:szCs w:val="24"/>
                        </w:rPr>
                        <w:t xml:space="preserve">Figure </w:t>
                      </w:r>
                      <w:r w:rsidRPr="00F66D20">
                        <w:rPr>
                          <w:sz w:val="24"/>
                          <w:szCs w:val="24"/>
                        </w:rPr>
                        <w:fldChar w:fldCharType="begin"/>
                      </w:r>
                      <w:r w:rsidRPr="00F66D20">
                        <w:rPr>
                          <w:sz w:val="24"/>
                          <w:szCs w:val="24"/>
                        </w:rPr>
                        <w:instrText xml:space="preserve"> SEQ Figure \* ARABIC </w:instrText>
                      </w:r>
                      <w:r w:rsidRPr="00F66D20">
                        <w:rPr>
                          <w:sz w:val="24"/>
                          <w:szCs w:val="24"/>
                        </w:rPr>
                        <w:fldChar w:fldCharType="separate"/>
                      </w:r>
                      <w:r w:rsidR="00E12B26">
                        <w:rPr>
                          <w:noProof/>
                          <w:sz w:val="24"/>
                          <w:szCs w:val="24"/>
                        </w:rPr>
                        <w:t>6</w:t>
                      </w:r>
                      <w:r w:rsidRPr="00F66D20">
                        <w:rPr>
                          <w:sz w:val="24"/>
                          <w:szCs w:val="24"/>
                        </w:rPr>
                        <w:fldChar w:fldCharType="end"/>
                      </w:r>
                    </w:p>
                  </w:txbxContent>
                </v:textbox>
                <w10:wrap type="tight"/>
              </v:shape>
            </w:pict>
          </mc:Fallback>
        </mc:AlternateContent>
      </w:r>
      <w:r w:rsidR="002169AA" w:rsidRPr="00644F82">
        <w:rPr>
          <w:noProof/>
          <w:color w:val="000000" w:themeColor="text1"/>
        </w:rPr>
        <w:drawing>
          <wp:anchor distT="0" distB="0" distL="114300" distR="114300" simplePos="0" relativeHeight="251701248" behindDoc="1" locked="0" layoutInCell="1" allowOverlap="1" wp14:anchorId="446E4694" wp14:editId="42B6BA65">
            <wp:simplePos x="0" y="0"/>
            <wp:positionH relativeFrom="margin">
              <wp:align>center</wp:align>
            </wp:positionH>
            <wp:positionV relativeFrom="paragraph">
              <wp:posOffset>342265</wp:posOffset>
            </wp:positionV>
            <wp:extent cx="6315075" cy="4145280"/>
            <wp:effectExtent l="0" t="0" r="0" b="0"/>
            <wp:wrapTight wrapText="bothSides">
              <wp:wrapPolygon edited="0">
                <wp:start x="0" y="0"/>
                <wp:lineTo x="0" y="21507"/>
                <wp:lineTo x="21546" y="21507"/>
                <wp:lineTo x="21546" y="0"/>
                <wp:lineTo x="0" y="0"/>
              </wp:wrapPolygon>
            </wp:wrapTight>
            <wp:docPr id="1126497153" name="image6.png" descr="A person smiling at the camera&#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6.png" descr="A person smiling at the camera&#10;&#10;AI-generated content may be incorrect."/>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6315075" cy="4145280"/>
                    </a:xfrm>
                    <a:prstGeom prst="rect">
                      <a:avLst/>
                    </a:prstGeom>
                    <a:ln/>
                  </pic:spPr>
                </pic:pic>
              </a:graphicData>
            </a:graphic>
            <wp14:sizeRelH relativeFrom="page">
              <wp14:pctWidth>0</wp14:pctWidth>
            </wp14:sizeRelH>
            <wp14:sizeRelV relativeFrom="page">
              <wp14:pctHeight>0</wp14:pctHeight>
            </wp14:sizeRelV>
          </wp:anchor>
        </w:drawing>
      </w:r>
    </w:p>
    <w:p w14:paraId="78225134" w14:textId="2B3E218F" w:rsidR="002169AA" w:rsidRPr="00644F82" w:rsidRDefault="002169AA" w:rsidP="0049470B">
      <w:pPr>
        <w:rPr>
          <w:color w:val="000000" w:themeColor="text1"/>
        </w:rPr>
      </w:pPr>
    </w:p>
    <w:p w14:paraId="20229B05" w14:textId="24E51713" w:rsidR="002169AA" w:rsidRPr="00644F82" w:rsidRDefault="002169AA" w:rsidP="0049470B">
      <w:pPr>
        <w:rPr>
          <w:color w:val="000000" w:themeColor="text1"/>
        </w:rPr>
      </w:pPr>
    </w:p>
    <w:p w14:paraId="5FA0EFA0" w14:textId="6C20D2EA" w:rsidR="002169AA" w:rsidRPr="00644F82" w:rsidRDefault="002169AA" w:rsidP="0049470B">
      <w:pPr>
        <w:rPr>
          <w:color w:val="000000" w:themeColor="text1"/>
        </w:rPr>
      </w:pPr>
    </w:p>
    <w:p w14:paraId="280068E4" w14:textId="6D265CFE" w:rsidR="002169AA" w:rsidRPr="00644F82" w:rsidRDefault="002169AA" w:rsidP="0049470B">
      <w:pPr>
        <w:rPr>
          <w:color w:val="000000" w:themeColor="text1"/>
        </w:rPr>
      </w:pPr>
    </w:p>
    <w:p w14:paraId="42BBAFFE" w14:textId="68C613D2" w:rsidR="002169AA" w:rsidRPr="00644F82" w:rsidRDefault="002169AA" w:rsidP="0049470B">
      <w:pPr>
        <w:rPr>
          <w:color w:val="000000" w:themeColor="text1"/>
        </w:rPr>
      </w:pPr>
    </w:p>
    <w:p w14:paraId="10CA7F7F" w14:textId="76FBB7A6" w:rsidR="002169AA" w:rsidRPr="00644F82" w:rsidRDefault="002169AA" w:rsidP="0049470B">
      <w:pPr>
        <w:rPr>
          <w:color w:val="000000" w:themeColor="text1"/>
        </w:rPr>
      </w:pPr>
    </w:p>
    <w:p w14:paraId="1C4A91E8" w14:textId="0D0400D8" w:rsidR="002169AA" w:rsidRPr="00644F82" w:rsidRDefault="002169AA" w:rsidP="0049470B">
      <w:pPr>
        <w:rPr>
          <w:color w:val="000000" w:themeColor="text1"/>
        </w:rPr>
      </w:pPr>
    </w:p>
    <w:p w14:paraId="7BB340BD" w14:textId="20FDD1C0" w:rsidR="002169AA" w:rsidRPr="00644F82" w:rsidRDefault="002169AA" w:rsidP="0049470B">
      <w:pPr>
        <w:rPr>
          <w:color w:val="000000" w:themeColor="text1"/>
        </w:rPr>
      </w:pPr>
    </w:p>
    <w:p w14:paraId="4EBF1809" w14:textId="61ADE8DF" w:rsidR="002169AA" w:rsidRPr="00644F82" w:rsidRDefault="002169AA" w:rsidP="0049470B">
      <w:pPr>
        <w:rPr>
          <w:color w:val="000000" w:themeColor="text1"/>
        </w:rPr>
      </w:pPr>
    </w:p>
    <w:p w14:paraId="5C147CC4" w14:textId="69E9AC50" w:rsidR="002169AA" w:rsidRPr="00644F82" w:rsidRDefault="002169AA" w:rsidP="0049470B">
      <w:pPr>
        <w:rPr>
          <w:color w:val="000000" w:themeColor="text1"/>
        </w:rPr>
      </w:pPr>
    </w:p>
    <w:p w14:paraId="2D236CAE" w14:textId="593B1872" w:rsidR="002169AA" w:rsidRPr="00644F82" w:rsidRDefault="002169AA" w:rsidP="0049470B">
      <w:pPr>
        <w:rPr>
          <w:color w:val="000000" w:themeColor="text1"/>
        </w:rPr>
      </w:pPr>
    </w:p>
    <w:p w14:paraId="67017687" w14:textId="77777777" w:rsidR="002169AA" w:rsidRPr="00644F82" w:rsidRDefault="002169AA" w:rsidP="0049470B">
      <w:pPr>
        <w:rPr>
          <w:color w:val="000000" w:themeColor="text1"/>
        </w:rPr>
      </w:pPr>
    </w:p>
    <w:p w14:paraId="602EDA16" w14:textId="3A743709" w:rsidR="002169AA" w:rsidRPr="00644F82" w:rsidRDefault="002169AA" w:rsidP="0049470B">
      <w:pPr>
        <w:rPr>
          <w:color w:val="000000" w:themeColor="text1"/>
        </w:rPr>
      </w:pPr>
    </w:p>
    <w:p w14:paraId="1B1D4BB2" w14:textId="70D281D9" w:rsidR="002169AA" w:rsidRPr="00644F82" w:rsidRDefault="002169AA" w:rsidP="0049470B">
      <w:pPr>
        <w:rPr>
          <w:color w:val="000000" w:themeColor="text1"/>
        </w:rPr>
      </w:pPr>
    </w:p>
    <w:p w14:paraId="30D0DBD0" w14:textId="77777777" w:rsidR="002169AA" w:rsidRPr="00644F82" w:rsidRDefault="002169AA" w:rsidP="0049470B">
      <w:pPr>
        <w:rPr>
          <w:color w:val="000000" w:themeColor="text1"/>
        </w:rPr>
      </w:pPr>
    </w:p>
    <w:p w14:paraId="6ACE4441" w14:textId="77777777" w:rsidR="002169AA" w:rsidRPr="00644F82" w:rsidRDefault="002169AA" w:rsidP="0049470B">
      <w:pPr>
        <w:rPr>
          <w:color w:val="000000" w:themeColor="text1"/>
        </w:rPr>
      </w:pPr>
    </w:p>
    <w:p w14:paraId="31EF18BF" w14:textId="7910EDCF" w:rsidR="002169AA" w:rsidRPr="00644F82" w:rsidRDefault="002169AA" w:rsidP="0049470B">
      <w:pPr>
        <w:rPr>
          <w:color w:val="000000" w:themeColor="text1"/>
        </w:rPr>
      </w:pPr>
    </w:p>
    <w:p w14:paraId="36FD0D90" w14:textId="77777777" w:rsidR="002169AA" w:rsidRPr="00644F82" w:rsidRDefault="002169AA" w:rsidP="0049470B">
      <w:pPr>
        <w:rPr>
          <w:color w:val="000000" w:themeColor="text1"/>
        </w:rPr>
      </w:pPr>
    </w:p>
    <w:p w14:paraId="0814790D" w14:textId="77777777" w:rsidR="00F66D20" w:rsidRPr="00644F82" w:rsidRDefault="002169AA" w:rsidP="00F66D20">
      <w:pPr>
        <w:keepNext/>
        <w:rPr>
          <w:color w:val="000000" w:themeColor="text1"/>
        </w:rPr>
      </w:pPr>
      <w:r w:rsidRPr="00644F82">
        <w:rPr>
          <w:noProof/>
          <w:color w:val="000000" w:themeColor="text1"/>
        </w:rPr>
        <w:lastRenderedPageBreak/>
        <w:drawing>
          <wp:inline distT="0" distB="0" distL="0" distR="0" wp14:anchorId="3FD22171" wp14:editId="146508D2">
            <wp:extent cx="5827776" cy="7326884"/>
            <wp:effectExtent l="0" t="0" r="1905" b="1270"/>
            <wp:docPr id="7" name="image8.png" descr="A poster of women working in the shape of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7" name="image8.png" descr="A poster of women working in the shape of letters&#10;&#10;AI-generated content may be incorrect."/>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5835441" cy="7336520"/>
                    </a:xfrm>
                    <a:prstGeom prst="rect">
                      <a:avLst/>
                    </a:prstGeom>
                    <a:ln/>
                  </pic:spPr>
                </pic:pic>
              </a:graphicData>
            </a:graphic>
          </wp:inline>
        </w:drawing>
      </w:r>
    </w:p>
    <w:p w14:paraId="106D4BDF" w14:textId="48307C15" w:rsidR="0049470B" w:rsidRPr="00644F82" w:rsidRDefault="00F66D20" w:rsidP="00F66D20">
      <w:pPr>
        <w:pStyle w:val="Caption"/>
        <w:rPr>
          <w:color w:val="000000" w:themeColor="text1"/>
          <w:sz w:val="24"/>
          <w:szCs w:val="24"/>
        </w:rPr>
      </w:pPr>
      <w:r w:rsidRPr="00644F82">
        <w:rPr>
          <w:color w:val="000000" w:themeColor="text1"/>
          <w:sz w:val="24"/>
          <w:szCs w:val="24"/>
        </w:rPr>
        <w:t xml:space="preserve">Figure </w:t>
      </w:r>
      <w:r w:rsidRPr="00644F82">
        <w:rPr>
          <w:color w:val="000000" w:themeColor="text1"/>
          <w:sz w:val="24"/>
          <w:szCs w:val="24"/>
        </w:rPr>
        <w:fldChar w:fldCharType="begin"/>
      </w:r>
      <w:r w:rsidRPr="00644F82">
        <w:rPr>
          <w:color w:val="000000" w:themeColor="text1"/>
          <w:sz w:val="24"/>
          <w:szCs w:val="24"/>
        </w:rPr>
        <w:instrText xml:space="preserve"> SEQ Figure \* ARABIC </w:instrText>
      </w:r>
      <w:r w:rsidRPr="00644F82">
        <w:rPr>
          <w:color w:val="000000" w:themeColor="text1"/>
          <w:sz w:val="24"/>
          <w:szCs w:val="24"/>
        </w:rPr>
        <w:fldChar w:fldCharType="separate"/>
      </w:r>
      <w:r w:rsidR="00E12B26">
        <w:rPr>
          <w:noProof/>
          <w:color w:val="000000" w:themeColor="text1"/>
          <w:sz w:val="24"/>
          <w:szCs w:val="24"/>
        </w:rPr>
        <w:t>7</w:t>
      </w:r>
      <w:r w:rsidRPr="00644F82">
        <w:rPr>
          <w:color w:val="000000" w:themeColor="text1"/>
          <w:sz w:val="24"/>
          <w:szCs w:val="24"/>
        </w:rPr>
        <w:fldChar w:fldCharType="end"/>
      </w:r>
    </w:p>
    <w:p w14:paraId="5D47244E" w14:textId="77777777" w:rsidR="0049470B" w:rsidRPr="00644F82" w:rsidRDefault="0049470B" w:rsidP="0049470B">
      <w:pPr>
        <w:rPr>
          <w:color w:val="000000" w:themeColor="text1"/>
        </w:rPr>
      </w:pPr>
    </w:p>
    <w:p w14:paraId="4CE4B5A5" w14:textId="77777777" w:rsidR="00EA6655" w:rsidRPr="00644F82" w:rsidRDefault="00EA6655" w:rsidP="0049470B">
      <w:pPr>
        <w:rPr>
          <w:color w:val="000000" w:themeColor="text1"/>
        </w:rPr>
      </w:pPr>
    </w:p>
    <w:p w14:paraId="722D0017" w14:textId="77777777" w:rsidR="00EA6655" w:rsidRPr="00644F82" w:rsidRDefault="00EA6655" w:rsidP="00EA6655">
      <w:pPr>
        <w:keepNext/>
        <w:jc w:val="center"/>
        <w:rPr>
          <w:color w:val="000000" w:themeColor="text1"/>
        </w:rPr>
      </w:pPr>
      <w:r w:rsidRPr="00644F82">
        <w:rPr>
          <w:noProof/>
          <w:color w:val="000000" w:themeColor="text1"/>
          <w14:ligatures w14:val="standardContextual"/>
        </w:rPr>
        <w:lastRenderedPageBreak/>
        <w:drawing>
          <wp:inline distT="0" distB="0" distL="0" distR="0" wp14:anchorId="06B96144" wp14:editId="52B0CFB6">
            <wp:extent cx="5388864" cy="8019142"/>
            <wp:effectExtent l="0" t="0" r="0" b="0"/>
            <wp:docPr id="1841259256" name="Picture 9" descr="A poster of two men shak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259256" name="Picture 9" descr="A poster of two men shaking hand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503690" cy="8190015"/>
                    </a:xfrm>
                    <a:prstGeom prst="rect">
                      <a:avLst/>
                    </a:prstGeom>
                  </pic:spPr>
                </pic:pic>
              </a:graphicData>
            </a:graphic>
          </wp:inline>
        </w:drawing>
      </w:r>
    </w:p>
    <w:p w14:paraId="52D2EBED" w14:textId="36FA87A3" w:rsidR="00EA6655" w:rsidRPr="00644F82" w:rsidRDefault="00EA6655" w:rsidP="00EA6655">
      <w:pPr>
        <w:pStyle w:val="Caption"/>
        <w:jc w:val="both"/>
        <w:rPr>
          <w:color w:val="000000" w:themeColor="text1"/>
          <w:sz w:val="24"/>
          <w:szCs w:val="24"/>
        </w:rPr>
      </w:pPr>
      <w:r w:rsidRPr="00644F82">
        <w:rPr>
          <w:color w:val="000000" w:themeColor="text1"/>
          <w:sz w:val="24"/>
          <w:szCs w:val="24"/>
        </w:rPr>
        <w:t xml:space="preserve">       Figure </w:t>
      </w:r>
      <w:r w:rsidRPr="00644F82">
        <w:rPr>
          <w:color w:val="000000" w:themeColor="text1"/>
          <w:sz w:val="24"/>
          <w:szCs w:val="24"/>
        </w:rPr>
        <w:fldChar w:fldCharType="begin"/>
      </w:r>
      <w:r w:rsidRPr="00644F82">
        <w:rPr>
          <w:color w:val="000000" w:themeColor="text1"/>
          <w:sz w:val="24"/>
          <w:szCs w:val="24"/>
        </w:rPr>
        <w:instrText xml:space="preserve"> SEQ Figure \* ARABIC </w:instrText>
      </w:r>
      <w:r w:rsidRPr="00644F82">
        <w:rPr>
          <w:color w:val="000000" w:themeColor="text1"/>
          <w:sz w:val="24"/>
          <w:szCs w:val="24"/>
        </w:rPr>
        <w:fldChar w:fldCharType="separate"/>
      </w:r>
      <w:r w:rsidR="00E12B26">
        <w:rPr>
          <w:noProof/>
          <w:color w:val="000000" w:themeColor="text1"/>
          <w:sz w:val="24"/>
          <w:szCs w:val="24"/>
        </w:rPr>
        <w:t>8</w:t>
      </w:r>
      <w:r w:rsidRPr="00644F82">
        <w:rPr>
          <w:color w:val="000000" w:themeColor="text1"/>
          <w:sz w:val="24"/>
          <w:szCs w:val="24"/>
        </w:rPr>
        <w:fldChar w:fldCharType="end"/>
      </w:r>
    </w:p>
    <w:p w14:paraId="20D23859" w14:textId="3AC48795" w:rsidR="002169AA" w:rsidRPr="00644F82" w:rsidRDefault="00F66D20" w:rsidP="0049470B">
      <w:pPr>
        <w:rPr>
          <w:color w:val="000000" w:themeColor="text1"/>
        </w:rPr>
      </w:pPr>
      <w:r w:rsidRPr="00644F82">
        <w:rPr>
          <w:noProof/>
          <w:color w:val="000000" w:themeColor="text1"/>
        </w:rPr>
        <w:lastRenderedPageBreak/>
        <mc:AlternateContent>
          <mc:Choice Requires="wps">
            <w:drawing>
              <wp:anchor distT="0" distB="0" distL="114300" distR="114300" simplePos="0" relativeHeight="251740160" behindDoc="1" locked="0" layoutInCell="1" allowOverlap="1" wp14:anchorId="20923BE4" wp14:editId="1EB51AF4">
                <wp:simplePos x="0" y="0"/>
                <wp:positionH relativeFrom="column">
                  <wp:posOffset>393065</wp:posOffset>
                </wp:positionH>
                <wp:positionV relativeFrom="paragraph">
                  <wp:posOffset>7781925</wp:posOffset>
                </wp:positionV>
                <wp:extent cx="5156835" cy="635"/>
                <wp:effectExtent l="0" t="0" r="0" b="12065"/>
                <wp:wrapTight wrapText="bothSides">
                  <wp:wrapPolygon edited="0">
                    <wp:start x="0" y="0"/>
                    <wp:lineTo x="0" y="0"/>
                    <wp:lineTo x="21544" y="0"/>
                    <wp:lineTo x="21544" y="0"/>
                    <wp:lineTo x="0" y="0"/>
                  </wp:wrapPolygon>
                </wp:wrapTight>
                <wp:docPr id="402100512" name="Text Box 1"/>
                <wp:cNvGraphicFramePr/>
                <a:graphic xmlns:a="http://schemas.openxmlformats.org/drawingml/2006/main">
                  <a:graphicData uri="http://schemas.microsoft.com/office/word/2010/wordprocessingShape">
                    <wps:wsp>
                      <wps:cNvSpPr txBox="1"/>
                      <wps:spPr>
                        <a:xfrm>
                          <a:off x="0" y="0"/>
                          <a:ext cx="5156835" cy="635"/>
                        </a:xfrm>
                        <a:prstGeom prst="rect">
                          <a:avLst/>
                        </a:prstGeom>
                        <a:solidFill>
                          <a:prstClr val="white"/>
                        </a:solidFill>
                        <a:ln>
                          <a:noFill/>
                        </a:ln>
                      </wps:spPr>
                      <wps:txbx>
                        <w:txbxContent>
                          <w:p w14:paraId="0E039700" w14:textId="6EA3CB43" w:rsidR="00F66D20" w:rsidRPr="00F66D20" w:rsidRDefault="00F66D20" w:rsidP="00F66D20">
                            <w:pPr>
                              <w:pStyle w:val="Caption"/>
                              <w:rPr>
                                <w:noProof/>
                                <w:color w:val="000000" w:themeColor="text1"/>
                                <w:sz w:val="24"/>
                                <w:szCs w:val="24"/>
                              </w:rPr>
                            </w:pPr>
                            <w:r w:rsidRPr="00F66D20">
                              <w:rPr>
                                <w:sz w:val="24"/>
                                <w:szCs w:val="24"/>
                              </w:rPr>
                              <w:t xml:space="preserve">Figure </w:t>
                            </w:r>
                            <w:r w:rsidR="00EA6655">
                              <w:rPr>
                                <w:sz w:val="24"/>
                                <w:szCs w:val="24"/>
                              </w:rPr>
                              <w:t>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923BE4" id="_x0000_s1032" type="#_x0000_t202" style="position:absolute;margin-left:30.95pt;margin-top:612.75pt;width:406.05pt;height:.05pt;z-index:-25157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" stroked="f">
                <v:textbox style="mso-fit-shape-to-text:t" inset="0,0,0,0">
                  <w:txbxContent>
                    <w:p w14:paraId="0E039700" w14:textId="6EA3CB43" w:rsidR="00F66D20" w:rsidRPr="00F66D20" w:rsidRDefault="00F66D20" w:rsidP="00F66D20">
                      <w:pPr>
                        <w:pStyle w:val="Caption"/>
                        <w:rPr>
                          <w:noProof/>
                          <w:color w:val="000000" w:themeColor="text1"/>
                          <w:sz w:val="24"/>
                          <w:szCs w:val="24"/>
                        </w:rPr>
                      </w:pPr>
                      <w:r w:rsidRPr="00F66D20">
                        <w:rPr>
                          <w:sz w:val="24"/>
                          <w:szCs w:val="24"/>
                        </w:rPr>
                        <w:t xml:space="preserve">Figure </w:t>
                      </w:r>
                      <w:r w:rsidR="00EA6655">
                        <w:rPr>
                          <w:sz w:val="24"/>
                          <w:szCs w:val="24"/>
                        </w:rPr>
                        <w:t>9</w:t>
                      </w:r>
                    </w:p>
                  </w:txbxContent>
                </v:textbox>
                <w10:wrap type="tight"/>
              </v:shape>
            </w:pict>
          </mc:Fallback>
        </mc:AlternateContent>
      </w:r>
      <w:r w:rsidR="002169AA" w:rsidRPr="00644F82">
        <w:rPr>
          <w:noProof/>
          <w:color w:val="000000" w:themeColor="text1"/>
          <w14:ligatures w14:val="standardContextual"/>
        </w:rPr>
        <w:drawing>
          <wp:anchor distT="0" distB="0" distL="114300" distR="114300" simplePos="0" relativeHeight="251693056" behindDoc="1" locked="0" layoutInCell="1" allowOverlap="1" wp14:anchorId="6DA1EDC4" wp14:editId="1D56DCB2">
            <wp:simplePos x="0" y="0"/>
            <wp:positionH relativeFrom="margin">
              <wp:align>center</wp:align>
            </wp:positionH>
            <wp:positionV relativeFrom="paragraph">
              <wp:posOffset>0</wp:posOffset>
            </wp:positionV>
            <wp:extent cx="5156835" cy="7724775"/>
            <wp:effectExtent l="0" t="0" r="0" b="0"/>
            <wp:wrapTight wrapText="bothSides">
              <wp:wrapPolygon edited="0">
                <wp:start x="0" y="0"/>
                <wp:lineTo x="0" y="21556"/>
                <wp:lineTo x="21544" y="21556"/>
                <wp:lineTo x="21544" y="0"/>
                <wp:lineTo x="0" y="0"/>
              </wp:wrapPolygon>
            </wp:wrapTight>
            <wp:docPr id="2066051188" name="Picture 1" descr="A person applying lipstick on her li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51188" name="Picture 1" descr="A person applying lipstick on her lip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56835" cy="7724775"/>
                    </a:xfrm>
                    <a:prstGeom prst="rect">
                      <a:avLst/>
                    </a:prstGeom>
                  </pic:spPr>
                </pic:pic>
              </a:graphicData>
            </a:graphic>
            <wp14:sizeRelH relativeFrom="page">
              <wp14:pctWidth>0</wp14:pctWidth>
            </wp14:sizeRelH>
            <wp14:sizeRelV relativeFrom="page">
              <wp14:pctHeight>0</wp14:pctHeight>
            </wp14:sizeRelV>
          </wp:anchor>
        </w:drawing>
      </w:r>
    </w:p>
    <w:p w14:paraId="375FD6BD" w14:textId="66D5BBE9" w:rsidR="0049470B" w:rsidRPr="00644F82" w:rsidRDefault="0049470B" w:rsidP="0049470B">
      <w:pPr>
        <w:rPr>
          <w:color w:val="000000" w:themeColor="text1"/>
        </w:rPr>
      </w:pPr>
    </w:p>
    <w:p w14:paraId="7761CA21" w14:textId="77777777" w:rsidR="0049470B" w:rsidRPr="00644F82" w:rsidRDefault="0049470B" w:rsidP="0049470B">
      <w:pPr>
        <w:rPr>
          <w:color w:val="000000" w:themeColor="text1"/>
        </w:rPr>
      </w:pPr>
    </w:p>
    <w:p w14:paraId="3F7CE164" w14:textId="77777777" w:rsidR="0049470B" w:rsidRPr="00644F82" w:rsidRDefault="0049470B" w:rsidP="0049470B">
      <w:pPr>
        <w:rPr>
          <w:color w:val="000000" w:themeColor="text1"/>
        </w:rPr>
      </w:pPr>
    </w:p>
    <w:p w14:paraId="223193EC" w14:textId="5B8DA220" w:rsidR="0049470B" w:rsidRPr="00644F82" w:rsidRDefault="0049470B" w:rsidP="0049470B">
      <w:pPr>
        <w:rPr>
          <w:color w:val="000000" w:themeColor="text1"/>
        </w:rPr>
      </w:pPr>
    </w:p>
    <w:p w14:paraId="3E2859EB" w14:textId="30DBBCA5" w:rsidR="0049470B" w:rsidRPr="00644F82" w:rsidRDefault="0049470B" w:rsidP="004206B9">
      <w:pPr>
        <w:jc w:val="center"/>
        <w:rPr>
          <w:color w:val="000000" w:themeColor="text1"/>
        </w:rPr>
      </w:pPr>
    </w:p>
    <w:p w14:paraId="1BADA037" w14:textId="60E41556" w:rsidR="0049470B" w:rsidRPr="00644F82" w:rsidRDefault="0049470B" w:rsidP="004206B9">
      <w:pPr>
        <w:jc w:val="center"/>
        <w:rPr>
          <w:color w:val="000000" w:themeColor="text1"/>
        </w:rPr>
      </w:pPr>
    </w:p>
    <w:p w14:paraId="2FE117E2" w14:textId="285D6B50" w:rsidR="0049470B" w:rsidRPr="00644F82" w:rsidRDefault="0049470B" w:rsidP="004206B9">
      <w:pPr>
        <w:jc w:val="center"/>
        <w:rPr>
          <w:color w:val="000000" w:themeColor="text1"/>
        </w:rPr>
      </w:pPr>
    </w:p>
    <w:p w14:paraId="7F0F3E29" w14:textId="406E4124" w:rsidR="000F5327" w:rsidRPr="00644F82" w:rsidRDefault="00F66D20" w:rsidP="000F5327">
      <w:pPr>
        <w:rPr>
          <w:color w:val="000000" w:themeColor="text1"/>
        </w:rPr>
      </w:pPr>
      <w:r w:rsidRPr="00644F82">
        <w:rPr>
          <w:noProof/>
          <w:color w:val="000000" w:themeColor="text1"/>
        </w:rPr>
        <w:lastRenderedPageBreak/>
        <mc:AlternateContent>
          <mc:Choice Requires="wps">
            <w:drawing>
              <wp:anchor distT="0" distB="0" distL="114300" distR="114300" simplePos="0" relativeHeight="251742208" behindDoc="1" locked="0" layoutInCell="1" allowOverlap="1" wp14:anchorId="7CB7343C" wp14:editId="4E7258BF">
                <wp:simplePos x="0" y="0"/>
                <wp:positionH relativeFrom="column">
                  <wp:posOffset>158750</wp:posOffset>
                </wp:positionH>
                <wp:positionV relativeFrom="paragraph">
                  <wp:posOffset>7596505</wp:posOffset>
                </wp:positionV>
                <wp:extent cx="5620385" cy="635"/>
                <wp:effectExtent l="0" t="0" r="5715" b="12065"/>
                <wp:wrapTight wrapText="bothSides">
                  <wp:wrapPolygon edited="0">
                    <wp:start x="0" y="0"/>
                    <wp:lineTo x="0" y="0"/>
                    <wp:lineTo x="21573" y="0"/>
                    <wp:lineTo x="21573" y="0"/>
                    <wp:lineTo x="0" y="0"/>
                  </wp:wrapPolygon>
                </wp:wrapTight>
                <wp:docPr id="1372972566" name="Text Box 1"/>
                <wp:cNvGraphicFramePr/>
                <a:graphic xmlns:a="http://schemas.openxmlformats.org/drawingml/2006/main">
                  <a:graphicData uri="http://schemas.microsoft.com/office/word/2010/wordprocessingShape">
                    <wps:wsp>
                      <wps:cNvSpPr txBox="1"/>
                      <wps:spPr>
                        <a:xfrm>
                          <a:off x="0" y="0"/>
                          <a:ext cx="5620385" cy="635"/>
                        </a:xfrm>
                        <a:prstGeom prst="rect">
                          <a:avLst/>
                        </a:prstGeom>
                        <a:solidFill>
                          <a:prstClr val="white"/>
                        </a:solidFill>
                        <a:ln>
                          <a:noFill/>
                        </a:ln>
                      </wps:spPr>
                      <wps:txbx>
                        <w:txbxContent>
                          <w:p w14:paraId="0AB280B1" w14:textId="715B103F" w:rsidR="00F66D20" w:rsidRPr="00F66D20" w:rsidRDefault="00F66D20" w:rsidP="00F66D20">
                            <w:pPr>
                              <w:pStyle w:val="Caption"/>
                              <w:rPr>
                                <w:noProof/>
                                <w:color w:val="000000" w:themeColor="text1"/>
                                <w:sz w:val="24"/>
                                <w:szCs w:val="24"/>
                              </w:rPr>
                            </w:pPr>
                            <w:r w:rsidRPr="00F66D20">
                              <w:rPr>
                                <w:sz w:val="24"/>
                                <w:szCs w:val="24"/>
                              </w:rPr>
                              <w:t xml:space="preserve">Figure </w:t>
                            </w:r>
                            <w:r w:rsidR="00EA6655">
                              <w:rPr>
                                <w:sz w:val="24"/>
                                <w:szCs w:val="24"/>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B7343C" id="_x0000_s1033" type="#_x0000_t202" style="position:absolute;margin-left:12.5pt;margin-top:598.15pt;width:442.55pt;height:.05pt;z-index:-25157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" stroked="f">
                <v:textbox style="mso-fit-shape-to-text:t" inset="0,0,0,0">
                  <w:txbxContent>
                    <w:p w14:paraId="0AB280B1" w14:textId="715B103F" w:rsidR="00F66D20" w:rsidRPr="00F66D20" w:rsidRDefault="00F66D20" w:rsidP="00F66D20">
                      <w:pPr>
                        <w:pStyle w:val="Caption"/>
                        <w:rPr>
                          <w:noProof/>
                          <w:color w:val="000000" w:themeColor="text1"/>
                          <w:sz w:val="24"/>
                          <w:szCs w:val="24"/>
                        </w:rPr>
                      </w:pPr>
                      <w:r w:rsidRPr="00F66D20">
                        <w:rPr>
                          <w:sz w:val="24"/>
                          <w:szCs w:val="24"/>
                        </w:rPr>
                        <w:t xml:space="preserve">Figure </w:t>
                      </w:r>
                      <w:r w:rsidR="00EA6655">
                        <w:rPr>
                          <w:sz w:val="24"/>
                          <w:szCs w:val="24"/>
                        </w:rPr>
                        <w:t>10</w:t>
                      </w:r>
                    </w:p>
                  </w:txbxContent>
                </v:textbox>
                <w10:wrap type="tight"/>
              </v:shape>
            </w:pict>
          </mc:Fallback>
        </mc:AlternateContent>
      </w:r>
      <w:r w:rsidR="002169AA" w:rsidRPr="00644F82">
        <w:rPr>
          <w:noProof/>
          <w:color w:val="000000" w:themeColor="text1"/>
        </w:rPr>
        <w:drawing>
          <wp:anchor distT="0" distB="0" distL="114300" distR="114300" simplePos="0" relativeHeight="251697152" behindDoc="1" locked="0" layoutInCell="1" allowOverlap="1" wp14:anchorId="75C84D14" wp14:editId="1755940E">
            <wp:simplePos x="0" y="0"/>
            <wp:positionH relativeFrom="margin">
              <wp:align>center</wp:align>
            </wp:positionH>
            <wp:positionV relativeFrom="paragraph">
              <wp:posOffset>182880</wp:posOffset>
            </wp:positionV>
            <wp:extent cx="5620385" cy="7356475"/>
            <wp:effectExtent l="0" t="0" r="5715" b="0"/>
            <wp:wrapTight wrapText="bothSides">
              <wp:wrapPolygon edited="0">
                <wp:start x="0" y="0"/>
                <wp:lineTo x="0" y="21553"/>
                <wp:lineTo x="21573" y="21553"/>
                <wp:lineTo x="21573" y="0"/>
                <wp:lineTo x="0" y="0"/>
              </wp:wrapPolygon>
            </wp:wrapTight>
            <wp:docPr id="683624697" name="Picture 2" descr="Kamala Harris as Rosie the Riveter on the We Can Do It famous WW2 poster  Art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ala Harris as Rosie the Riveter on the We Can Do It famous WW2 poster  Art Pri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0385" cy="7356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CA7005" w14:textId="732C2187" w:rsidR="0074766E" w:rsidRPr="00644F82" w:rsidRDefault="005C72FF" w:rsidP="00BA2C56">
      <w:pPr>
        <w:jc w:val="center"/>
        <w:rPr>
          <w:color w:val="000000" w:themeColor="text1"/>
        </w:rPr>
      </w:pPr>
      <w:r w:rsidRPr="00644F82">
        <w:rPr>
          <w:color w:val="000000" w:themeColor="text1"/>
        </w:rPr>
        <w:br w:type="page"/>
      </w:r>
      <w:r w:rsidR="0074766E" w:rsidRPr="00644F82">
        <w:rPr>
          <w:color w:val="000000" w:themeColor="text1"/>
        </w:rPr>
        <w:lastRenderedPageBreak/>
        <w:t>Bibliography</w:t>
      </w:r>
    </w:p>
    <w:p w14:paraId="4037E241" w14:textId="1C181096" w:rsidR="004206B9" w:rsidRPr="00644F82" w:rsidRDefault="004206B9" w:rsidP="00BA2C56">
      <w:pPr>
        <w:rPr>
          <w:color w:val="000000" w:themeColor="text1"/>
          <w:u w:val="single"/>
        </w:rPr>
      </w:pPr>
      <w:r w:rsidRPr="00644F82">
        <w:rPr>
          <w:color w:val="000000" w:themeColor="text1"/>
          <w:u w:val="single"/>
        </w:rPr>
        <w:t xml:space="preserve">Primary Sources </w:t>
      </w:r>
    </w:p>
    <w:p w14:paraId="7677F56E" w14:textId="77777777" w:rsidR="004206B9" w:rsidRPr="00644F82" w:rsidRDefault="004206B9" w:rsidP="00BA2C56">
      <w:pPr>
        <w:rPr>
          <w:color w:val="000000" w:themeColor="text1"/>
        </w:rPr>
      </w:pPr>
    </w:p>
    <w:p w14:paraId="4C11C4DE" w14:textId="77777777" w:rsidR="00E45A78" w:rsidRPr="00644F82" w:rsidRDefault="00E45A78" w:rsidP="00BA2C56">
      <w:pPr>
        <w:ind w:left="720" w:hanging="720"/>
        <w:rPr>
          <w:color w:val="000000" w:themeColor="text1"/>
        </w:rPr>
      </w:pPr>
      <w:r w:rsidRPr="00644F82">
        <w:rPr>
          <w:color w:val="000000" w:themeColor="text1"/>
        </w:rPr>
        <w:t xml:space="preserve">American Historical Association. </w:t>
      </w:r>
      <w:r w:rsidRPr="00644F82">
        <w:rPr>
          <w:i/>
          <w:color w:val="000000" w:themeColor="text1"/>
        </w:rPr>
        <w:t>Do You Want Your Wife to Work After the War?</w:t>
      </w:r>
      <w:r w:rsidRPr="00644F82">
        <w:rPr>
          <w:color w:val="000000" w:themeColor="text1"/>
        </w:rPr>
        <w:t xml:space="preserve"> G. I. Roundtable Series, EM31. Circa 1944. Illinois State Library. Illinois Digital Archives. Accessed August 19, 2025.</w:t>
      </w:r>
      <w:hyperlink r:id="rId17">
        <w:r w:rsidRPr="00644F82">
          <w:rPr>
            <w:color w:val="000000" w:themeColor="text1"/>
          </w:rPr>
          <w:t xml:space="preserve"> </w:t>
        </w:r>
      </w:hyperlink>
      <w:hyperlink r:id="rId18">
        <w:r w:rsidRPr="00644F82">
          <w:rPr>
            <w:color w:val="000000" w:themeColor="text1"/>
            <w:u w:val="single"/>
          </w:rPr>
          <w:t>http://www.idaillinois.org/digital/collection/isl3/id/12759</w:t>
        </w:r>
      </w:hyperlink>
      <w:r w:rsidRPr="00644F82">
        <w:rPr>
          <w:color w:val="000000" w:themeColor="text1"/>
        </w:rPr>
        <w:t>.</w:t>
      </w:r>
    </w:p>
    <w:p w14:paraId="699BF8D1" w14:textId="77777777" w:rsidR="00E45A78" w:rsidRPr="00644F82" w:rsidRDefault="00E45A78" w:rsidP="00BA2C56">
      <w:pPr>
        <w:ind w:left="720" w:hanging="720"/>
        <w:rPr>
          <w:color w:val="000000" w:themeColor="text1"/>
        </w:rPr>
      </w:pPr>
    </w:p>
    <w:p w14:paraId="0830C31B" w14:textId="60BA6405" w:rsidR="00E45A78" w:rsidRPr="00644F82" w:rsidRDefault="00E45A78" w:rsidP="00BA2C56">
      <w:pPr>
        <w:ind w:left="720" w:hanging="720"/>
        <w:rPr>
          <w:color w:val="000000" w:themeColor="text1"/>
        </w:rPr>
      </w:pPr>
      <w:r w:rsidRPr="00644F82">
        <w:rPr>
          <w:color w:val="000000" w:themeColor="text1"/>
        </w:rPr>
        <w:t xml:space="preserve">Furnas, J. C. “Are Women Doing Their Share in the War?” </w:t>
      </w:r>
      <w:r w:rsidRPr="00644F82">
        <w:rPr>
          <w:i/>
          <w:color w:val="000000" w:themeColor="text1"/>
        </w:rPr>
        <w:t>Saturday Evening Post</w:t>
      </w:r>
      <w:r w:rsidRPr="00644F82">
        <w:rPr>
          <w:color w:val="000000" w:themeColor="text1"/>
        </w:rPr>
        <w:t xml:space="preserve"> 216, no. 44 (April 29, 1944): 12–44.</w:t>
      </w:r>
      <w:hyperlink r:id="rId19">
        <w:r w:rsidRPr="00644F82">
          <w:rPr>
            <w:color w:val="000000" w:themeColor="text1"/>
          </w:rPr>
          <w:t xml:space="preserve"> </w:t>
        </w:r>
      </w:hyperlink>
      <w:hyperlink r:id="rId20">
        <w:r w:rsidRPr="00644F82">
          <w:rPr>
            <w:color w:val="000000" w:themeColor="text1"/>
            <w:u w:val="single"/>
          </w:rPr>
          <w:t>https://research.ebsco.com/linkprocessor/plink?id=2513207f-c3ad-3f95-80fc-4a5f618ca7db</w:t>
        </w:r>
      </w:hyperlink>
      <w:r w:rsidRPr="00644F82">
        <w:rPr>
          <w:color w:val="000000" w:themeColor="text1"/>
        </w:rPr>
        <w:t>.</w:t>
      </w:r>
    </w:p>
    <w:p w14:paraId="553C5FB7" w14:textId="77777777" w:rsidR="00E45A78" w:rsidRPr="00644F82" w:rsidRDefault="00E45A78" w:rsidP="00BA2C56">
      <w:pPr>
        <w:ind w:left="720" w:hanging="720"/>
        <w:rPr>
          <w:color w:val="000000" w:themeColor="text1"/>
        </w:rPr>
      </w:pPr>
    </w:p>
    <w:p w14:paraId="0949B444" w14:textId="122FF7A6" w:rsidR="000B5B61" w:rsidRPr="00644F82" w:rsidRDefault="000B5B61" w:rsidP="00BA2C56">
      <w:pPr>
        <w:ind w:left="720" w:hanging="720"/>
        <w:rPr>
          <w:color w:val="000000" w:themeColor="text1"/>
        </w:rPr>
      </w:pPr>
      <w:r w:rsidRPr="00644F82">
        <w:rPr>
          <w:color w:val="000000" w:themeColor="text1"/>
        </w:rPr>
        <w:t xml:space="preserve">Grant, Vernon, artist. </w:t>
      </w:r>
      <w:r w:rsidRPr="00644F82">
        <w:rPr>
          <w:i/>
          <w:color w:val="000000" w:themeColor="text1"/>
        </w:rPr>
        <w:t>Women: There's Work to Be Done and a War to Be Won ... Now! See Your U.S. Employment Service.</w:t>
      </w:r>
      <w:r w:rsidRPr="00644F82">
        <w:rPr>
          <w:color w:val="000000" w:themeColor="text1"/>
        </w:rPr>
        <w:t xml:space="preserve"> Washington, D.C.: U.S. Government Printing Office for the United States War Manpower Commission and Office of War Information, 1944. Photograph.</w:t>
      </w:r>
      <w:hyperlink r:id="rId21">
        <w:r w:rsidRPr="00644F82">
          <w:rPr>
            <w:color w:val="000000" w:themeColor="text1"/>
          </w:rPr>
          <w:t xml:space="preserve"> </w:t>
        </w:r>
      </w:hyperlink>
      <w:hyperlink r:id="rId22">
        <w:r w:rsidRPr="00644F82">
          <w:rPr>
            <w:color w:val="000000" w:themeColor="text1"/>
            <w:u w:val="single"/>
          </w:rPr>
          <w:t>https://www.loc.gov/item/97515648/</w:t>
        </w:r>
      </w:hyperlink>
      <w:r w:rsidRPr="00644F82">
        <w:rPr>
          <w:color w:val="000000" w:themeColor="text1"/>
        </w:rPr>
        <w:t xml:space="preserve">. </w:t>
      </w:r>
    </w:p>
    <w:p w14:paraId="1ADF72F4" w14:textId="77777777" w:rsidR="000B5B61" w:rsidRPr="00644F82" w:rsidRDefault="000B5B61" w:rsidP="00BA2C56">
      <w:pPr>
        <w:rPr>
          <w:color w:val="000000" w:themeColor="text1"/>
        </w:rPr>
      </w:pPr>
    </w:p>
    <w:p w14:paraId="4DDD1F94" w14:textId="7AE2709E" w:rsidR="004206B9" w:rsidRPr="00644F82" w:rsidRDefault="00811B7C" w:rsidP="00BA2C56">
      <w:pPr>
        <w:ind w:left="720" w:hanging="720"/>
        <w:rPr>
          <w:color w:val="000000" w:themeColor="text1"/>
        </w:rPr>
      </w:pPr>
      <w:r w:rsidRPr="00644F82">
        <w:rPr>
          <w:color w:val="000000" w:themeColor="text1"/>
          <w:shd w:val="clear" w:color="auto" w:fill="FFFFFF"/>
        </w:rPr>
        <w:t xml:space="preserve">Harris, P. G.. 1943."Do the job he left behind: apply U.S. Employment Service." University of Minnesota Libraries, Upper Midwest Literary Archives., Accessed November 06, 2025. </w:t>
      </w:r>
      <w:hyperlink r:id="rId23" w:history="1">
        <w:r w:rsidRPr="00644F82">
          <w:rPr>
            <w:rStyle w:val="Hyperlink"/>
            <w:color w:val="000000" w:themeColor="text1"/>
            <w:shd w:val="clear" w:color="auto" w:fill="FFFFFF"/>
          </w:rPr>
          <w:t>https://umedia.lib.umn.edu/item/p16022coll208:4553</w:t>
        </w:r>
      </w:hyperlink>
      <w:r w:rsidRPr="00644F82">
        <w:rPr>
          <w:color w:val="000000" w:themeColor="text1"/>
          <w:shd w:val="clear" w:color="auto" w:fill="FFFFFF"/>
        </w:rPr>
        <w:t xml:space="preserve">.  </w:t>
      </w:r>
    </w:p>
    <w:p w14:paraId="7CE1961B" w14:textId="77777777" w:rsidR="000B5B61" w:rsidRPr="00644F82" w:rsidRDefault="000B5B61" w:rsidP="00BA2C56">
      <w:pPr>
        <w:ind w:left="720" w:hanging="720"/>
        <w:rPr>
          <w:color w:val="000000" w:themeColor="text1"/>
        </w:rPr>
      </w:pPr>
    </w:p>
    <w:p w14:paraId="68375A33" w14:textId="77777777" w:rsidR="00E45A78" w:rsidRPr="00644F82" w:rsidRDefault="000B5B61" w:rsidP="00BA2C56">
      <w:pPr>
        <w:ind w:left="720" w:hanging="720"/>
        <w:rPr>
          <w:color w:val="000000" w:themeColor="text1"/>
        </w:rPr>
      </w:pPr>
      <w:r w:rsidRPr="00644F82">
        <w:rPr>
          <w:color w:val="000000" w:themeColor="text1"/>
        </w:rPr>
        <w:t xml:space="preserve">Howitt, John Newton, artist. </w:t>
      </w:r>
      <w:r w:rsidRPr="00644F82">
        <w:rPr>
          <w:i/>
          <w:color w:val="000000" w:themeColor="text1"/>
        </w:rPr>
        <w:t>I'm Proud ... My Husband Wants Me to Do My Part: See Your U.S. Employment Service.</w:t>
      </w:r>
      <w:r w:rsidRPr="00644F82">
        <w:rPr>
          <w:color w:val="000000" w:themeColor="text1"/>
        </w:rPr>
        <w:t xml:space="preserve"> Washington, D.C.: U.S. Government Printing Office for the United States War Manpower Commission and the United States Office of War Information, 1944. Photograph.</w:t>
      </w:r>
      <w:hyperlink r:id="rId24">
        <w:r w:rsidRPr="00644F82">
          <w:rPr>
            <w:color w:val="000000" w:themeColor="text1"/>
          </w:rPr>
          <w:t xml:space="preserve"> </w:t>
        </w:r>
      </w:hyperlink>
      <w:hyperlink r:id="rId25">
        <w:r w:rsidRPr="00644F82">
          <w:rPr>
            <w:color w:val="000000" w:themeColor="text1"/>
            <w:u w:val="single"/>
          </w:rPr>
          <w:t>https://www.loc.gov/item/95504753/</w:t>
        </w:r>
      </w:hyperlink>
      <w:r w:rsidRPr="00644F82">
        <w:rPr>
          <w:color w:val="000000" w:themeColor="text1"/>
        </w:rPr>
        <w:t xml:space="preserve">. </w:t>
      </w:r>
    </w:p>
    <w:p w14:paraId="3CBB87A1" w14:textId="77777777" w:rsidR="00E45A78" w:rsidRPr="00644F82" w:rsidRDefault="00E45A78" w:rsidP="00BA2C56">
      <w:pPr>
        <w:ind w:left="720" w:hanging="720"/>
        <w:rPr>
          <w:color w:val="000000" w:themeColor="text1"/>
        </w:rPr>
      </w:pPr>
    </w:p>
    <w:p w14:paraId="140FBD95" w14:textId="6EAEA34C" w:rsidR="00E45A78" w:rsidRPr="00644F82" w:rsidRDefault="00E45A78" w:rsidP="00BA2C56">
      <w:pPr>
        <w:ind w:left="720" w:hanging="720"/>
        <w:rPr>
          <w:color w:val="000000" w:themeColor="text1"/>
        </w:rPr>
      </w:pPr>
      <w:r w:rsidRPr="00644F82">
        <w:rPr>
          <w:color w:val="000000" w:themeColor="text1"/>
        </w:rPr>
        <w:t xml:space="preserve">Ickes, Harold L. “Watch out for the Women.” </w:t>
      </w:r>
      <w:r w:rsidRPr="00644F82">
        <w:rPr>
          <w:i/>
          <w:color w:val="000000" w:themeColor="text1"/>
        </w:rPr>
        <w:t>Saturday Evening Post</w:t>
      </w:r>
      <w:r w:rsidRPr="00644F82">
        <w:rPr>
          <w:color w:val="000000" w:themeColor="text1"/>
        </w:rPr>
        <w:t xml:space="preserve"> 215, no. 34 (February 20, 1943): 19–79.</w:t>
      </w:r>
      <w:hyperlink r:id="rId26">
        <w:r w:rsidRPr="00644F82">
          <w:rPr>
            <w:color w:val="000000" w:themeColor="text1"/>
          </w:rPr>
          <w:t xml:space="preserve"> </w:t>
        </w:r>
      </w:hyperlink>
      <w:hyperlink r:id="rId27">
        <w:r w:rsidRPr="00644F82">
          <w:rPr>
            <w:color w:val="000000" w:themeColor="text1"/>
            <w:u w:val="single"/>
          </w:rPr>
          <w:t>https://research.ebsco.com/linkprocessor/plink?id=319b1692-cf51-3780-870b-6b9971b27e05</w:t>
        </w:r>
      </w:hyperlink>
      <w:r w:rsidRPr="00644F82">
        <w:rPr>
          <w:color w:val="000000" w:themeColor="text1"/>
        </w:rPr>
        <w:t>.</w:t>
      </w:r>
    </w:p>
    <w:p w14:paraId="5B959205" w14:textId="77777777" w:rsidR="00E45A78" w:rsidRPr="00644F82" w:rsidRDefault="00E45A78" w:rsidP="00BA2C56">
      <w:pPr>
        <w:shd w:val="clear" w:color="auto" w:fill="FFFFFF"/>
        <w:rPr>
          <w:i/>
          <w:color w:val="000000" w:themeColor="text1"/>
        </w:rPr>
      </w:pPr>
    </w:p>
    <w:p w14:paraId="1A791B1A" w14:textId="6C964302" w:rsidR="000B5B61" w:rsidRPr="00644F82" w:rsidRDefault="000B5B61" w:rsidP="00BA2C56">
      <w:pPr>
        <w:shd w:val="clear" w:color="auto" w:fill="FFFFFF"/>
        <w:ind w:left="720" w:hanging="720"/>
        <w:rPr>
          <w:color w:val="000000" w:themeColor="text1"/>
        </w:rPr>
      </w:pPr>
      <w:r w:rsidRPr="00644F82">
        <w:rPr>
          <w:i/>
          <w:color w:val="000000" w:themeColor="text1"/>
        </w:rPr>
        <w:t xml:space="preserve">"I've found the job where I fit best!" find your war job in industry, agriculture, business/ / George R. </w:t>
      </w:r>
      <w:r w:rsidRPr="00644F82">
        <w:rPr>
          <w:color w:val="000000" w:themeColor="text1"/>
        </w:rPr>
        <w:t>United States, 1943. Washington, D.C.: Office of War Information. Photograph.</w:t>
      </w:r>
      <w:hyperlink r:id="rId28">
        <w:r w:rsidRPr="00644F82">
          <w:rPr>
            <w:color w:val="000000" w:themeColor="text1"/>
          </w:rPr>
          <w:t xml:space="preserve"> </w:t>
        </w:r>
      </w:hyperlink>
      <w:hyperlink r:id="rId29">
        <w:r w:rsidRPr="00644F82">
          <w:rPr>
            <w:color w:val="000000" w:themeColor="text1"/>
            <w:u w:val="single"/>
          </w:rPr>
          <w:t>https://www.loc.gov/item/90707072/</w:t>
        </w:r>
      </w:hyperlink>
      <w:r w:rsidRPr="00644F82">
        <w:rPr>
          <w:color w:val="000000" w:themeColor="text1"/>
        </w:rPr>
        <w:t>.</w:t>
      </w:r>
    </w:p>
    <w:p w14:paraId="41A2132A" w14:textId="77777777" w:rsidR="000B5B61" w:rsidRPr="00644F82" w:rsidRDefault="000B5B61" w:rsidP="00BA2C56">
      <w:pPr>
        <w:shd w:val="clear" w:color="auto" w:fill="FFFFFF"/>
        <w:ind w:left="720" w:hanging="720"/>
        <w:rPr>
          <w:color w:val="000000" w:themeColor="text1"/>
        </w:rPr>
      </w:pPr>
    </w:p>
    <w:p w14:paraId="6C90CB58" w14:textId="77777777" w:rsidR="00E45A78" w:rsidRPr="00644F82" w:rsidRDefault="000B5B61" w:rsidP="00BA2C56">
      <w:pPr>
        <w:ind w:left="720" w:hanging="720"/>
        <w:rPr>
          <w:color w:val="000000" w:themeColor="text1"/>
        </w:rPr>
      </w:pPr>
      <w:r w:rsidRPr="00644F82">
        <w:rPr>
          <w:color w:val="000000" w:themeColor="text1"/>
        </w:rPr>
        <w:t xml:space="preserve">Miller, J. Howard. </w:t>
      </w:r>
      <w:r w:rsidRPr="00644F82">
        <w:rPr>
          <w:i/>
          <w:color w:val="000000" w:themeColor="text1"/>
        </w:rPr>
        <w:t>Rosie the Riveter</w:t>
      </w:r>
      <w:r w:rsidRPr="00644F82">
        <w:rPr>
          <w:color w:val="000000" w:themeColor="text1"/>
        </w:rPr>
        <w:t xml:space="preserve">. 1942. Poster. National Museum of American History. Smithsonian Institution. Washington, DC. </w:t>
      </w:r>
    </w:p>
    <w:p w14:paraId="35F5D022" w14:textId="77777777" w:rsidR="00E45A78" w:rsidRPr="00644F82" w:rsidRDefault="00E45A78" w:rsidP="00BA2C56">
      <w:pPr>
        <w:ind w:left="720" w:hanging="720"/>
        <w:rPr>
          <w:color w:val="000000" w:themeColor="text1"/>
        </w:rPr>
      </w:pPr>
    </w:p>
    <w:p w14:paraId="78F34A98" w14:textId="389136F3" w:rsidR="00E45A78" w:rsidRPr="00644F82" w:rsidRDefault="00E45A78" w:rsidP="00BA2C56">
      <w:pPr>
        <w:ind w:left="720" w:hanging="720"/>
        <w:rPr>
          <w:color w:val="000000" w:themeColor="text1"/>
        </w:rPr>
      </w:pPr>
      <w:r w:rsidRPr="00644F82">
        <w:rPr>
          <w:color w:val="000000" w:themeColor="text1"/>
        </w:rPr>
        <w:t xml:space="preserve">“Mr. Rosie.” </w:t>
      </w:r>
      <w:r w:rsidRPr="00644F82">
        <w:rPr>
          <w:i/>
          <w:color w:val="000000" w:themeColor="text1"/>
        </w:rPr>
        <w:t>Saturday Evening Post</w:t>
      </w:r>
      <w:r w:rsidRPr="00644F82">
        <w:rPr>
          <w:color w:val="000000" w:themeColor="text1"/>
        </w:rPr>
        <w:t xml:space="preserve"> 216, no. 7 (August 14, 1943): 4.</w:t>
      </w:r>
      <w:hyperlink r:id="rId30">
        <w:r w:rsidRPr="00644F82">
          <w:rPr>
            <w:color w:val="000000" w:themeColor="text1"/>
          </w:rPr>
          <w:t xml:space="preserve"> </w:t>
        </w:r>
      </w:hyperlink>
      <w:hyperlink r:id="rId31">
        <w:r w:rsidRPr="00644F82">
          <w:rPr>
            <w:color w:val="000000" w:themeColor="text1"/>
            <w:u w:val="single"/>
          </w:rPr>
          <w:t>https://research.ebsco.com/linkprocessor/plink?id=7e91d5af-c8ce-362e-b477-210b5504374f</w:t>
        </w:r>
      </w:hyperlink>
      <w:r w:rsidRPr="00644F82">
        <w:rPr>
          <w:color w:val="000000" w:themeColor="text1"/>
        </w:rPr>
        <w:t>.</w:t>
      </w:r>
    </w:p>
    <w:p w14:paraId="39DD46D6" w14:textId="77777777" w:rsidR="00E45A78" w:rsidRPr="00644F82" w:rsidRDefault="00E45A78" w:rsidP="00BA2C56">
      <w:pPr>
        <w:shd w:val="clear" w:color="auto" w:fill="FFFFFF"/>
        <w:ind w:left="720" w:hanging="720"/>
        <w:rPr>
          <w:color w:val="000000" w:themeColor="text1"/>
        </w:rPr>
      </w:pPr>
    </w:p>
    <w:p w14:paraId="74E0D459" w14:textId="0B6D97FC" w:rsidR="00255AE3" w:rsidRPr="00644F82" w:rsidRDefault="00255AE3" w:rsidP="00BA2C56">
      <w:pPr>
        <w:shd w:val="clear" w:color="auto" w:fill="FFFFFF"/>
        <w:ind w:left="720" w:hanging="720"/>
        <w:rPr>
          <w:color w:val="000000" w:themeColor="text1"/>
        </w:rPr>
      </w:pPr>
      <w:r w:rsidRPr="00644F82">
        <w:rPr>
          <w:color w:val="000000" w:themeColor="text1"/>
        </w:rPr>
        <w:t xml:space="preserve">Nicko Prints. “Kamala Harris as Rosie the Riveter on the We Can Do It famous WW2 poster — Art Print.” Nicko Prints. Accessed November 7, 2025. </w:t>
      </w:r>
      <w:hyperlink r:id="rId32" w:history="1">
        <w:r w:rsidRPr="00644F82">
          <w:rPr>
            <w:rStyle w:val="Hyperlink"/>
            <w:color w:val="000000" w:themeColor="text1"/>
          </w:rPr>
          <w:t>https://nickoprints.com/featured/kamala-harris-as-rosie-the-riveter-on-the-we-can-do-it-famous-ww2-poster-nicko-prints.html?product=art-print</w:t>
        </w:r>
      </w:hyperlink>
      <w:r w:rsidRPr="00644F82">
        <w:rPr>
          <w:color w:val="000000" w:themeColor="text1"/>
        </w:rPr>
        <w:t xml:space="preserve">. </w:t>
      </w:r>
    </w:p>
    <w:p w14:paraId="42E6310A" w14:textId="77777777" w:rsidR="00255AE3" w:rsidRPr="00644F82" w:rsidRDefault="00255AE3" w:rsidP="00BA2C56">
      <w:pPr>
        <w:shd w:val="clear" w:color="auto" w:fill="FFFFFF"/>
        <w:ind w:left="720" w:hanging="720"/>
        <w:rPr>
          <w:color w:val="000000" w:themeColor="text1"/>
        </w:rPr>
      </w:pPr>
    </w:p>
    <w:p w14:paraId="1E4AA6E3" w14:textId="77777777" w:rsidR="00EA6655" w:rsidRPr="00644F82" w:rsidRDefault="00EA6655" w:rsidP="00BA2C56">
      <w:pPr>
        <w:shd w:val="clear" w:color="auto" w:fill="FFFFFF"/>
        <w:ind w:left="720" w:hanging="720"/>
        <w:rPr>
          <w:color w:val="000000" w:themeColor="text1"/>
        </w:rPr>
      </w:pPr>
      <w:r w:rsidRPr="00644F82">
        <w:rPr>
          <w:color w:val="000000" w:themeColor="text1"/>
        </w:rPr>
        <w:lastRenderedPageBreak/>
        <w:t xml:space="preserve">Packer, Fred Little. </w:t>
      </w:r>
      <w:r w:rsidRPr="00644F82">
        <w:rPr>
          <w:rStyle w:val="Emphasis"/>
          <w:rFonts w:eastAsiaTheme="majorEastAsia"/>
          <w:color w:val="000000" w:themeColor="text1"/>
        </w:rPr>
        <w:t>We’re Depending on You! Produce to Win.</w:t>
      </w:r>
      <w:r w:rsidRPr="00644F82">
        <w:rPr>
          <w:color w:val="000000" w:themeColor="text1"/>
        </w:rPr>
        <w:t xml:space="preserve"> Office for Emergency Management, War Production Board, ca. 1942. Poster. Library of Congress. </w:t>
      </w:r>
      <w:hyperlink r:id="rId33" w:history="1">
        <w:r w:rsidRPr="00644F82">
          <w:rPr>
            <w:rStyle w:val="Hyperlink"/>
            <w:color w:val="000000" w:themeColor="text1"/>
          </w:rPr>
          <w:t>https://www.loc.gov/pictures/item/90714997/</w:t>
        </w:r>
      </w:hyperlink>
      <w:r w:rsidRPr="00644F82">
        <w:rPr>
          <w:color w:val="000000" w:themeColor="text1"/>
        </w:rPr>
        <w:t xml:space="preserve">. </w:t>
      </w:r>
    </w:p>
    <w:p w14:paraId="5D5F5BC2" w14:textId="34683F21" w:rsidR="00EA6655" w:rsidRPr="00644F82" w:rsidRDefault="00EA6655" w:rsidP="00BA2C56">
      <w:pPr>
        <w:shd w:val="clear" w:color="auto" w:fill="FFFFFF"/>
        <w:ind w:left="720" w:hanging="720"/>
        <w:rPr>
          <w:color w:val="000000" w:themeColor="text1"/>
        </w:rPr>
      </w:pPr>
      <w:r w:rsidRPr="00644F82">
        <w:rPr>
          <w:color w:val="000000" w:themeColor="text1"/>
        </w:rPr>
        <w:t xml:space="preserve"> </w:t>
      </w:r>
    </w:p>
    <w:p w14:paraId="1C59EA33" w14:textId="22D841C1" w:rsidR="00E45A78" w:rsidRPr="00644F82" w:rsidRDefault="000B5B61" w:rsidP="00BA2C56">
      <w:pPr>
        <w:shd w:val="clear" w:color="auto" w:fill="FFFFFF"/>
        <w:ind w:left="720" w:hanging="720"/>
        <w:rPr>
          <w:color w:val="000000" w:themeColor="text1"/>
        </w:rPr>
      </w:pPr>
      <w:r w:rsidRPr="00644F82">
        <w:rPr>
          <w:color w:val="000000" w:themeColor="text1"/>
        </w:rPr>
        <w:t>Rockwell, Norman.</w:t>
      </w:r>
      <w:r w:rsidRPr="00644F82">
        <w:rPr>
          <w:i/>
          <w:color w:val="000000" w:themeColor="text1"/>
        </w:rPr>
        <w:t xml:space="preserve"> Rosie the Riveter Post Cover</w:t>
      </w:r>
      <w:r w:rsidRPr="00644F82">
        <w:rPr>
          <w:color w:val="000000" w:themeColor="text1"/>
        </w:rPr>
        <w:t>. May 29, 1943.</w:t>
      </w:r>
    </w:p>
    <w:p w14:paraId="6CAAA47E" w14:textId="77777777" w:rsidR="00E45A78" w:rsidRPr="00644F82" w:rsidRDefault="00E45A78" w:rsidP="00BA2C56">
      <w:pPr>
        <w:shd w:val="clear" w:color="auto" w:fill="FFFFFF"/>
        <w:ind w:left="720" w:hanging="720"/>
        <w:rPr>
          <w:color w:val="000000" w:themeColor="text1"/>
        </w:rPr>
      </w:pPr>
    </w:p>
    <w:p w14:paraId="6329DB39" w14:textId="0715DC21" w:rsidR="00E45A78" w:rsidRPr="00644F82" w:rsidRDefault="00E45A78" w:rsidP="00BA2C56">
      <w:pPr>
        <w:shd w:val="clear" w:color="auto" w:fill="FFFFFF"/>
        <w:ind w:left="720" w:hanging="720"/>
        <w:rPr>
          <w:color w:val="000000" w:themeColor="text1"/>
        </w:rPr>
      </w:pPr>
      <w:r w:rsidRPr="00644F82">
        <w:rPr>
          <w:color w:val="000000" w:themeColor="text1"/>
        </w:rPr>
        <w:t xml:space="preserve">Thompson, Dorothy. "The Stake of Women in Full Postwar Employment." </w:t>
      </w:r>
      <w:r w:rsidRPr="00644F82">
        <w:rPr>
          <w:i/>
          <w:color w:val="000000" w:themeColor="text1"/>
        </w:rPr>
        <w:t xml:space="preserve">Ladies' Home Journal, </w:t>
      </w:r>
      <w:r w:rsidRPr="00644F82">
        <w:rPr>
          <w:color w:val="000000" w:themeColor="text1"/>
        </w:rPr>
        <w:t>04, 1944, 6-6, 183,</w:t>
      </w:r>
      <w:hyperlink r:id="rId34">
        <w:r w:rsidRPr="00644F82">
          <w:rPr>
            <w:color w:val="000000" w:themeColor="text1"/>
          </w:rPr>
          <w:t xml:space="preserve"> </w:t>
        </w:r>
      </w:hyperlink>
      <w:hyperlink r:id="rId35">
        <w:r w:rsidRPr="00644F82">
          <w:rPr>
            <w:color w:val="000000" w:themeColor="text1"/>
            <w:u w:val="single"/>
          </w:rPr>
          <w:t>https://login.proxy048.nclive.org/login?url=https://www.proquest.com/magazines/stake-women-full-postwar-employment/docview/1926466082/se-2</w:t>
        </w:r>
      </w:hyperlink>
      <w:r w:rsidRPr="00644F82">
        <w:rPr>
          <w:color w:val="000000" w:themeColor="text1"/>
        </w:rPr>
        <w:t>.</w:t>
      </w:r>
    </w:p>
    <w:p w14:paraId="3BCDD9D0" w14:textId="77777777" w:rsidR="00E45A78" w:rsidRPr="00644F82" w:rsidRDefault="00E45A78" w:rsidP="00BA2C56">
      <w:pPr>
        <w:shd w:val="clear" w:color="auto" w:fill="FFFFFF"/>
        <w:ind w:left="720" w:hanging="720"/>
        <w:rPr>
          <w:color w:val="000000" w:themeColor="text1"/>
        </w:rPr>
      </w:pPr>
    </w:p>
    <w:p w14:paraId="72893729" w14:textId="2630DE53" w:rsidR="004206B9" w:rsidRPr="00644F82" w:rsidRDefault="000B5B61" w:rsidP="00BA2C56">
      <w:pPr>
        <w:shd w:val="clear" w:color="auto" w:fill="FFFFFF"/>
        <w:ind w:left="720" w:hanging="720"/>
        <w:rPr>
          <w:rStyle w:val="t286pc"/>
          <w:rFonts w:eastAsiaTheme="majorEastAsia"/>
          <w:color w:val="000000" w:themeColor="text1"/>
        </w:rPr>
      </w:pPr>
      <w:r w:rsidRPr="00644F82">
        <w:rPr>
          <w:color w:val="000000" w:themeColor="text1"/>
        </w:rPr>
        <w:t xml:space="preserve">Wilbur, Lawrence. </w:t>
      </w:r>
      <w:r w:rsidRPr="00644F82">
        <w:rPr>
          <w:i/>
          <w:color w:val="000000" w:themeColor="text1"/>
        </w:rPr>
        <w:t>Longing Won’t Bring Him Back Sooner… Get a War Job! See Your U.S. Employment Service.</w:t>
      </w:r>
      <w:r w:rsidRPr="00644F82">
        <w:rPr>
          <w:color w:val="000000" w:themeColor="text1"/>
        </w:rPr>
        <w:t xml:space="preserve"> Washington, D.C.: U.S. Government Printing Office, 1944. Poster. War Manpower Commission. New York Historical Society Library.</w:t>
      </w:r>
    </w:p>
    <w:p w14:paraId="1B42C84F" w14:textId="77777777" w:rsidR="004206B9" w:rsidRPr="00644F82" w:rsidRDefault="004206B9" w:rsidP="00BA2C56">
      <w:pPr>
        <w:shd w:val="clear" w:color="auto" w:fill="FFFFFF"/>
        <w:rPr>
          <w:rStyle w:val="t286pc"/>
          <w:rFonts w:eastAsiaTheme="majorEastAsia"/>
          <w:color w:val="000000" w:themeColor="text1"/>
        </w:rPr>
      </w:pPr>
    </w:p>
    <w:p w14:paraId="0C1600ED" w14:textId="0244F704" w:rsidR="004206B9" w:rsidRPr="00644F82" w:rsidRDefault="004206B9" w:rsidP="00BA2C56">
      <w:pPr>
        <w:shd w:val="clear" w:color="auto" w:fill="FFFFFF"/>
        <w:ind w:left="720" w:hanging="720"/>
        <w:rPr>
          <w:rStyle w:val="t286pc"/>
          <w:rFonts w:eastAsiaTheme="majorEastAsia"/>
          <w:color w:val="000000" w:themeColor="text1"/>
          <w:u w:val="single"/>
        </w:rPr>
      </w:pPr>
      <w:r w:rsidRPr="00644F82">
        <w:rPr>
          <w:rStyle w:val="t286pc"/>
          <w:rFonts w:eastAsiaTheme="majorEastAsia"/>
          <w:color w:val="000000" w:themeColor="text1"/>
          <w:u w:val="single"/>
        </w:rPr>
        <w:t xml:space="preserve">Secondary Sources </w:t>
      </w:r>
    </w:p>
    <w:p w14:paraId="62303061" w14:textId="77777777" w:rsidR="004206B9" w:rsidRPr="00644F82" w:rsidRDefault="004206B9" w:rsidP="00BA2C56">
      <w:pPr>
        <w:shd w:val="clear" w:color="auto" w:fill="FFFFFF"/>
        <w:ind w:left="720" w:hanging="720"/>
        <w:rPr>
          <w:rStyle w:val="t286pc"/>
          <w:rFonts w:eastAsiaTheme="majorEastAsia"/>
          <w:color w:val="000000" w:themeColor="text1"/>
        </w:rPr>
      </w:pPr>
    </w:p>
    <w:p w14:paraId="03384E4E" w14:textId="432E4C41" w:rsidR="0074766E" w:rsidRPr="00644F82" w:rsidRDefault="0074766E" w:rsidP="00BA2C56">
      <w:pPr>
        <w:shd w:val="clear" w:color="auto" w:fill="FFFFFF"/>
        <w:ind w:left="720" w:hanging="720"/>
        <w:rPr>
          <w:color w:val="000000" w:themeColor="text1"/>
        </w:rPr>
      </w:pPr>
      <w:r w:rsidRPr="00644F82">
        <w:rPr>
          <w:rStyle w:val="t286pc"/>
          <w:rFonts w:eastAsiaTheme="majorEastAsia"/>
          <w:color w:val="000000" w:themeColor="text1"/>
        </w:rPr>
        <w:t>Anderson, Karen. </w:t>
      </w:r>
      <w:r w:rsidRPr="00644F82">
        <w:rPr>
          <w:rStyle w:val="Emphasis"/>
          <w:rFonts w:eastAsiaTheme="majorEastAsia"/>
          <w:color w:val="000000" w:themeColor="text1"/>
        </w:rPr>
        <w:t>Wartime Women: Sex Roles, Family Relations, and the Status of Women During World War II</w:t>
      </w:r>
      <w:r w:rsidRPr="00644F82">
        <w:rPr>
          <w:rStyle w:val="t286pc"/>
          <w:rFonts w:eastAsiaTheme="majorEastAsia"/>
          <w:color w:val="000000" w:themeColor="text1"/>
        </w:rPr>
        <w:t>. Greenwood Press, 1981.</w:t>
      </w:r>
      <w:r w:rsidRPr="00644F82">
        <w:rPr>
          <w:rStyle w:val="vkekvd"/>
          <w:rFonts w:eastAsiaTheme="majorEastAsia"/>
          <w:color w:val="000000" w:themeColor="text1"/>
        </w:rPr>
        <w:t> </w:t>
      </w:r>
    </w:p>
    <w:p w14:paraId="2220BBB0" w14:textId="77777777" w:rsidR="0074766E" w:rsidRPr="00644F82" w:rsidRDefault="0074766E" w:rsidP="00BA2C56">
      <w:pPr>
        <w:shd w:val="clear" w:color="auto" w:fill="FFFFFF"/>
        <w:ind w:left="720" w:hanging="720"/>
        <w:rPr>
          <w:color w:val="000000" w:themeColor="text1"/>
        </w:rPr>
      </w:pPr>
    </w:p>
    <w:p w14:paraId="5CCD0F01" w14:textId="77777777" w:rsidR="0074766E" w:rsidRPr="00644F82" w:rsidRDefault="0074766E" w:rsidP="00BA2C56">
      <w:pPr>
        <w:shd w:val="clear" w:color="auto" w:fill="FFFFFF"/>
        <w:ind w:left="720" w:hanging="720"/>
        <w:rPr>
          <w:color w:val="000000" w:themeColor="text1"/>
        </w:rPr>
      </w:pPr>
      <w:r w:rsidRPr="00644F82">
        <w:rPr>
          <w:color w:val="000000" w:themeColor="text1"/>
        </w:rPr>
        <w:t xml:space="preserve">Berger, John. </w:t>
      </w:r>
      <w:r w:rsidRPr="00644F82">
        <w:rPr>
          <w:i/>
          <w:iCs/>
          <w:color w:val="000000" w:themeColor="text1"/>
        </w:rPr>
        <w:t>Ways of Seeing</w:t>
      </w:r>
      <w:r w:rsidRPr="00644F82">
        <w:rPr>
          <w:color w:val="000000" w:themeColor="text1"/>
        </w:rPr>
        <w:t>. Penguin Books, 2008.</w:t>
      </w:r>
    </w:p>
    <w:p w14:paraId="41C56F75" w14:textId="77777777" w:rsidR="0074766E" w:rsidRPr="00644F82" w:rsidRDefault="0074766E" w:rsidP="00BA2C56">
      <w:pPr>
        <w:shd w:val="clear" w:color="auto" w:fill="FFFFFF"/>
        <w:ind w:left="720" w:hanging="720"/>
        <w:rPr>
          <w:color w:val="000000" w:themeColor="text1"/>
        </w:rPr>
      </w:pPr>
    </w:p>
    <w:p w14:paraId="35D206E9" w14:textId="77777777" w:rsidR="002169AA" w:rsidRPr="00644F82" w:rsidRDefault="0074766E" w:rsidP="00BA2C56">
      <w:pPr>
        <w:shd w:val="clear" w:color="auto" w:fill="FFFFFF"/>
        <w:ind w:left="720" w:hanging="720"/>
        <w:rPr>
          <w:color w:val="000000" w:themeColor="text1"/>
        </w:rPr>
      </w:pPr>
      <w:r w:rsidRPr="00644F82">
        <w:rPr>
          <w:color w:val="000000" w:themeColor="text1"/>
        </w:rPr>
        <w:t xml:space="preserve">Bhattacharya, Tithi, ed. </w:t>
      </w:r>
      <w:r w:rsidRPr="00644F82">
        <w:rPr>
          <w:i/>
          <w:iCs/>
          <w:color w:val="000000" w:themeColor="text1"/>
        </w:rPr>
        <w:t>Social Reproduction Theory: Remapping Class, Recentering Oppression</w:t>
      </w:r>
      <w:r w:rsidRPr="00644F82">
        <w:rPr>
          <w:color w:val="000000" w:themeColor="text1"/>
        </w:rPr>
        <w:t xml:space="preserve">. Pluto Press, 2017. </w:t>
      </w:r>
      <w:hyperlink r:id="rId36" w:history="1">
        <w:r w:rsidRPr="00644F82">
          <w:rPr>
            <w:rStyle w:val="Hyperlink"/>
            <w:color w:val="000000" w:themeColor="text1"/>
          </w:rPr>
          <w:t>https://doi.org/10.2307/j.ctt1vz494j</w:t>
        </w:r>
      </w:hyperlink>
      <w:r w:rsidRPr="00644F82">
        <w:rPr>
          <w:color w:val="000000" w:themeColor="text1"/>
        </w:rPr>
        <w:t xml:space="preserve">. </w:t>
      </w:r>
    </w:p>
    <w:p w14:paraId="5D64CB07" w14:textId="77777777" w:rsidR="002169AA" w:rsidRPr="00644F82" w:rsidRDefault="002169AA" w:rsidP="00BA2C56">
      <w:pPr>
        <w:shd w:val="clear" w:color="auto" w:fill="FFFFFF"/>
        <w:ind w:left="720" w:hanging="720"/>
        <w:rPr>
          <w:color w:val="000000" w:themeColor="text1"/>
        </w:rPr>
      </w:pPr>
    </w:p>
    <w:p w14:paraId="64625A58" w14:textId="76949D15" w:rsidR="002169AA" w:rsidRPr="00644F82" w:rsidRDefault="002169AA" w:rsidP="00BA2C56">
      <w:pPr>
        <w:shd w:val="clear" w:color="auto" w:fill="FFFFFF"/>
        <w:ind w:left="720" w:hanging="720"/>
        <w:rPr>
          <w:color w:val="000000" w:themeColor="text1"/>
        </w:rPr>
      </w:pPr>
      <w:proofErr w:type="spellStart"/>
      <w:r w:rsidRPr="00644F82">
        <w:rPr>
          <w:color w:val="000000" w:themeColor="text1"/>
        </w:rPr>
        <w:t>Dumenil</w:t>
      </w:r>
      <w:proofErr w:type="spellEnd"/>
      <w:r w:rsidRPr="00644F82">
        <w:rPr>
          <w:color w:val="000000" w:themeColor="text1"/>
        </w:rPr>
        <w:t xml:space="preserve">, Lynn. “The New Woman and the Politics of the 1920s.” </w:t>
      </w:r>
      <w:r w:rsidRPr="00644F82">
        <w:rPr>
          <w:i/>
          <w:iCs/>
          <w:color w:val="000000" w:themeColor="text1"/>
        </w:rPr>
        <w:t>OAH Magazine of History</w:t>
      </w:r>
      <w:r w:rsidRPr="00644F82">
        <w:rPr>
          <w:color w:val="000000" w:themeColor="text1"/>
        </w:rPr>
        <w:t xml:space="preserve"> 21, no. 3 (2007): 22–26. </w:t>
      </w:r>
      <w:hyperlink r:id="rId37" w:history="1">
        <w:r w:rsidRPr="00644F82">
          <w:rPr>
            <w:rStyle w:val="Hyperlink"/>
            <w:color w:val="000000" w:themeColor="text1"/>
          </w:rPr>
          <w:t>http://www.jstor.org/stable/25162125</w:t>
        </w:r>
      </w:hyperlink>
      <w:r w:rsidRPr="00644F82">
        <w:rPr>
          <w:color w:val="000000" w:themeColor="text1"/>
        </w:rPr>
        <w:t xml:space="preserve">. </w:t>
      </w:r>
    </w:p>
    <w:p w14:paraId="633DC830" w14:textId="77777777" w:rsidR="002169AA" w:rsidRPr="00644F82" w:rsidRDefault="002169AA" w:rsidP="00BA2C56">
      <w:pPr>
        <w:shd w:val="clear" w:color="auto" w:fill="FFFFFF"/>
        <w:ind w:left="720" w:hanging="720"/>
        <w:rPr>
          <w:color w:val="000000" w:themeColor="text1"/>
        </w:rPr>
      </w:pPr>
    </w:p>
    <w:p w14:paraId="1FFD717B" w14:textId="2BB89520" w:rsidR="0074766E" w:rsidRPr="00644F82" w:rsidRDefault="0074766E" w:rsidP="00BA2C56">
      <w:pPr>
        <w:shd w:val="clear" w:color="auto" w:fill="FFFFFF"/>
        <w:ind w:left="720" w:hanging="720"/>
        <w:rPr>
          <w:color w:val="000000" w:themeColor="text1"/>
        </w:rPr>
      </w:pPr>
      <w:r w:rsidRPr="00644F82">
        <w:rPr>
          <w:color w:val="000000" w:themeColor="text1"/>
        </w:rPr>
        <w:t xml:space="preserve">Federici, Silvia. “Social Reproduction Theory: History, Issues and Present Challenges.” </w:t>
      </w:r>
      <w:r w:rsidRPr="00644F82">
        <w:rPr>
          <w:rStyle w:val="Emphasis"/>
          <w:rFonts w:eastAsiaTheme="majorEastAsia"/>
          <w:color w:val="000000" w:themeColor="text1"/>
        </w:rPr>
        <w:t>Radical Philosophy</w:t>
      </w:r>
      <w:r w:rsidRPr="00644F82">
        <w:rPr>
          <w:color w:val="000000" w:themeColor="text1"/>
        </w:rPr>
        <w:t xml:space="preserve">, no. 204 (Spring 2019): 55–57. </w:t>
      </w:r>
      <w:hyperlink r:id="rId38" w:anchor=":~:text=Silvia%20Federici%20has%20written%20about%20social%20reproduction,Enclosure%2C%20Commons%2C%20and%20the%20Global%20Fishermen's%20Movement*" w:history="1">
        <w:r w:rsidRPr="00644F82">
          <w:rPr>
            <w:rStyle w:val="Hyperlink"/>
            <w:color w:val="000000" w:themeColor="text1"/>
          </w:rPr>
          <w:t>https://www.radicalphilosophy.com/article/social-reproduction-theory-2#:~:text=Silvia%20Federici%20has%20written%20about%20social%20reproduction,Enclosure%2C%20Commons%2C%20and%20the%20Global%20Fishermen's%20Movement*</w:t>
        </w:r>
      </w:hyperlink>
      <w:r w:rsidRPr="00644F82">
        <w:rPr>
          <w:color w:val="000000" w:themeColor="text1"/>
        </w:rPr>
        <w:t xml:space="preserve">.  </w:t>
      </w:r>
    </w:p>
    <w:p w14:paraId="58F737B3" w14:textId="77777777" w:rsidR="0074766E" w:rsidRPr="00644F82" w:rsidRDefault="0074766E" w:rsidP="00BA2C56">
      <w:pPr>
        <w:shd w:val="clear" w:color="auto" w:fill="FFFFFF"/>
        <w:ind w:left="720" w:hanging="720"/>
        <w:rPr>
          <w:color w:val="000000" w:themeColor="text1"/>
        </w:rPr>
      </w:pPr>
    </w:p>
    <w:p w14:paraId="1F20BAD3" w14:textId="779C53D0" w:rsidR="0074766E" w:rsidRPr="00644F82" w:rsidRDefault="0074766E" w:rsidP="00BA2C56">
      <w:pPr>
        <w:shd w:val="clear" w:color="auto" w:fill="FFFFFF"/>
        <w:ind w:left="720" w:hanging="720"/>
        <w:rPr>
          <w:color w:val="000000" w:themeColor="text1"/>
        </w:rPr>
      </w:pPr>
      <w:r w:rsidRPr="00644F82">
        <w:rPr>
          <w:color w:val="000000" w:themeColor="text1"/>
        </w:rPr>
        <w:t xml:space="preserve">Fellows, Erwin W. “‘Propaganda:’ History of a Word.” </w:t>
      </w:r>
      <w:r w:rsidRPr="00644F82">
        <w:rPr>
          <w:i/>
          <w:iCs/>
          <w:color w:val="000000" w:themeColor="text1"/>
        </w:rPr>
        <w:t>American Speech</w:t>
      </w:r>
      <w:r w:rsidRPr="00644F82">
        <w:rPr>
          <w:color w:val="000000" w:themeColor="text1"/>
        </w:rPr>
        <w:t xml:space="preserve"> 34, no. 3 (1959): 182–89. </w:t>
      </w:r>
      <w:hyperlink r:id="rId39" w:history="1">
        <w:r w:rsidR="00DE5C79" w:rsidRPr="00644F82">
          <w:rPr>
            <w:rStyle w:val="Hyperlink"/>
            <w:color w:val="000000" w:themeColor="text1"/>
          </w:rPr>
          <w:t>https://doi.org/10.2307/454039</w:t>
        </w:r>
      </w:hyperlink>
      <w:r w:rsidRPr="00644F82">
        <w:rPr>
          <w:color w:val="000000" w:themeColor="text1"/>
        </w:rPr>
        <w:t>.</w:t>
      </w:r>
      <w:r w:rsidR="00DE5C79" w:rsidRPr="00644F82">
        <w:rPr>
          <w:color w:val="000000" w:themeColor="text1"/>
        </w:rPr>
        <w:t xml:space="preserve"> </w:t>
      </w:r>
    </w:p>
    <w:p w14:paraId="45AC009A" w14:textId="77777777" w:rsidR="0074766E" w:rsidRPr="00644F82" w:rsidRDefault="0074766E" w:rsidP="00BA2C56">
      <w:pPr>
        <w:autoSpaceDE w:val="0"/>
        <w:autoSpaceDN w:val="0"/>
        <w:adjustRightInd w:val="0"/>
        <w:ind w:left="720" w:hanging="720"/>
        <w:rPr>
          <w:color w:val="000000" w:themeColor="text1"/>
        </w:rPr>
      </w:pPr>
    </w:p>
    <w:p w14:paraId="10D47CE4" w14:textId="77777777" w:rsidR="00910BB9"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Gluck, Sherna Berger. </w:t>
      </w:r>
      <w:r w:rsidRPr="00644F82">
        <w:rPr>
          <w:i/>
          <w:iCs/>
          <w:color w:val="000000" w:themeColor="text1"/>
        </w:rPr>
        <w:t>Rosie the Riveter Revisited: Women, the War, and Social Change</w:t>
      </w:r>
      <w:r w:rsidRPr="00644F82">
        <w:rPr>
          <w:color w:val="000000" w:themeColor="text1"/>
        </w:rPr>
        <w:t>. New York: Plume, 1988.</w:t>
      </w:r>
    </w:p>
    <w:p w14:paraId="0C320FF7" w14:textId="77777777" w:rsidR="00910BB9" w:rsidRPr="00644F82" w:rsidRDefault="00910BB9" w:rsidP="00BA2C56">
      <w:pPr>
        <w:autoSpaceDE w:val="0"/>
        <w:autoSpaceDN w:val="0"/>
        <w:adjustRightInd w:val="0"/>
        <w:ind w:left="720" w:hanging="720"/>
        <w:rPr>
          <w:color w:val="000000" w:themeColor="text1"/>
        </w:rPr>
      </w:pPr>
    </w:p>
    <w:p w14:paraId="50DC2FE2" w14:textId="6FF80662" w:rsidR="007F6B73" w:rsidRPr="00644F82" w:rsidRDefault="007F6B73" w:rsidP="00BA2C56">
      <w:pPr>
        <w:autoSpaceDE w:val="0"/>
        <w:autoSpaceDN w:val="0"/>
        <w:adjustRightInd w:val="0"/>
        <w:ind w:left="720" w:hanging="720"/>
        <w:rPr>
          <w:color w:val="000000" w:themeColor="text1"/>
        </w:rPr>
      </w:pPr>
      <w:r w:rsidRPr="00644F82">
        <w:rPr>
          <w:color w:val="000000" w:themeColor="text1"/>
        </w:rPr>
        <w:t>Gold, David</w:t>
      </w:r>
      <w:r w:rsidR="005D700D" w:rsidRPr="00644F82">
        <w:rPr>
          <w:color w:val="000000" w:themeColor="text1"/>
        </w:rPr>
        <w:t xml:space="preserve"> </w:t>
      </w:r>
      <w:r w:rsidRPr="00644F82">
        <w:rPr>
          <w:color w:val="000000" w:themeColor="text1"/>
        </w:rPr>
        <w:t xml:space="preserve">and Jessica Enoch, eds. </w:t>
      </w:r>
      <w:r w:rsidRPr="00644F82">
        <w:rPr>
          <w:i/>
          <w:iCs/>
          <w:color w:val="000000" w:themeColor="text1"/>
        </w:rPr>
        <w:t>Women at Work: Rhetorics of Gender and Labor</w:t>
      </w:r>
      <w:r w:rsidRPr="00644F82">
        <w:rPr>
          <w:color w:val="000000" w:themeColor="text1"/>
        </w:rPr>
        <w:t xml:space="preserve">. University of Pittsburgh Press, 2019. </w:t>
      </w:r>
      <w:hyperlink r:id="rId40" w:history="1">
        <w:r w:rsidRPr="00644F82">
          <w:rPr>
            <w:rStyle w:val="Hyperlink"/>
            <w:color w:val="000000" w:themeColor="text1"/>
          </w:rPr>
          <w:t>https://doi.org/10.2307/j.ctvn96hfp</w:t>
        </w:r>
      </w:hyperlink>
      <w:r w:rsidRPr="00644F82">
        <w:rPr>
          <w:color w:val="000000" w:themeColor="text1"/>
        </w:rPr>
        <w:t xml:space="preserve">. </w:t>
      </w:r>
    </w:p>
    <w:p w14:paraId="434A155A" w14:textId="77777777" w:rsidR="007F6B73" w:rsidRPr="00644F82" w:rsidRDefault="007F6B73" w:rsidP="00BA2C56">
      <w:pPr>
        <w:autoSpaceDE w:val="0"/>
        <w:autoSpaceDN w:val="0"/>
        <w:adjustRightInd w:val="0"/>
        <w:ind w:left="720" w:hanging="720"/>
        <w:rPr>
          <w:color w:val="000000" w:themeColor="text1"/>
        </w:rPr>
      </w:pPr>
    </w:p>
    <w:p w14:paraId="29C7ADC6" w14:textId="629D8AA1" w:rsidR="00910BB9" w:rsidRPr="00644F82" w:rsidRDefault="00910BB9" w:rsidP="00BA2C56">
      <w:pPr>
        <w:autoSpaceDE w:val="0"/>
        <w:autoSpaceDN w:val="0"/>
        <w:adjustRightInd w:val="0"/>
        <w:ind w:left="720" w:hanging="720"/>
        <w:rPr>
          <w:color w:val="000000" w:themeColor="text1"/>
        </w:rPr>
      </w:pPr>
      <w:r w:rsidRPr="00644F82">
        <w:rPr>
          <w:color w:val="000000" w:themeColor="text1"/>
        </w:rPr>
        <w:lastRenderedPageBreak/>
        <w:t xml:space="preserve">Goldin, Claudia, and Claudia Olivetti. “Shocking Labor Supply: A Reassessment of the Role of World War II on Women’s Labor Supply.” </w:t>
      </w:r>
      <w:r w:rsidRPr="00644F82">
        <w:rPr>
          <w:i/>
          <w:iCs/>
          <w:color w:val="000000" w:themeColor="text1"/>
        </w:rPr>
        <w:t>The American Economic Review</w:t>
      </w:r>
      <w:r w:rsidRPr="00644F82">
        <w:rPr>
          <w:color w:val="000000" w:themeColor="text1"/>
        </w:rPr>
        <w:t xml:space="preserve"> 103, no. 3 (2013): 257–62. </w:t>
      </w:r>
      <w:hyperlink r:id="rId41" w:history="1">
        <w:r w:rsidR="00DE5C79" w:rsidRPr="00644F82">
          <w:rPr>
            <w:rStyle w:val="Hyperlink"/>
            <w:color w:val="000000" w:themeColor="text1"/>
          </w:rPr>
          <w:t>http://www.jstor.org/stable/23469739</w:t>
        </w:r>
      </w:hyperlink>
      <w:r w:rsidRPr="00644F82">
        <w:rPr>
          <w:color w:val="000000" w:themeColor="text1"/>
        </w:rPr>
        <w:t>.</w:t>
      </w:r>
      <w:r w:rsidR="00DE5C79" w:rsidRPr="00644F82">
        <w:rPr>
          <w:color w:val="000000" w:themeColor="text1"/>
        </w:rPr>
        <w:t xml:space="preserve"> </w:t>
      </w:r>
    </w:p>
    <w:p w14:paraId="3CB3FF02" w14:textId="77777777" w:rsidR="00910BB9" w:rsidRPr="00644F82" w:rsidRDefault="00910BB9" w:rsidP="00BA2C56">
      <w:pPr>
        <w:autoSpaceDE w:val="0"/>
        <w:autoSpaceDN w:val="0"/>
        <w:adjustRightInd w:val="0"/>
        <w:ind w:left="720" w:hanging="720"/>
        <w:rPr>
          <w:color w:val="000000" w:themeColor="text1"/>
        </w:rPr>
      </w:pPr>
    </w:p>
    <w:p w14:paraId="753C855E" w14:textId="61FCDCEB"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Harrington, Sara. “Women’s Work: Domestic Labor in American World War II Posters.” </w:t>
      </w:r>
      <w:r w:rsidRPr="00644F82">
        <w:rPr>
          <w:i/>
          <w:iCs/>
          <w:color w:val="000000" w:themeColor="text1"/>
        </w:rPr>
        <w:t>Art Documentation: Journal of the Art Libraries Society of North America</w:t>
      </w:r>
      <w:r w:rsidRPr="00644F82">
        <w:rPr>
          <w:color w:val="000000" w:themeColor="text1"/>
        </w:rPr>
        <w:t xml:space="preserve"> 22, no. 2 (2003): 41–44. </w:t>
      </w:r>
      <w:hyperlink r:id="rId42" w:history="1">
        <w:r w:rsidRPr="00644F82">
          <w:rPr>
            <w:rStyle w:val="Hyperlink"/>
            <w:color w:val="000000" w:themeColor="text1"/>
          </w:rPr>
          <w:t>http://www.jstor.org/stable/27949264</w:t>
        </w:r>
      </w:hyperlink>
      <w:r w:rsidRPr="00644F82">
        <w:rPr>
          <w:color w:val="000000" w:themeColor="text1"/>
        </w:rPr>
        <w:t xml:space="preserve">. </w:t>
      </w:r>
    </w:p>
    <w:p w14:paraId="2DD564CE" w14:textId="77777777" w:rsidR="0074766E" w:rsidRPr="00644F82" w:rsidRDefault="0074766E" w:rsidP="00BA2C56">
      <w:pPr>
        <w:autoSpaceDE w:val="0"/>
        <w:autoSpaceDN w:val="0"/>
        <w:adjustRightInd w:val="0"/>
        <w:ind w:left="720" w:hanging="720"/>
        <w:rPr>
          <w:color w:val="000000" w:themeColor="text1"/>
        </w:rPr>
      </w:pPr>
    </w:p>
    <w:p w14:paraId="6E88FDD6" w14:textId="77777777" w:rsidR="0074766E" w:rsidRPr="00644F82" w:rsidRDefault="0074766E" w:rsidP="00BA2C56">
      <w:pPr>
        <w:autoSpaceDE w:val="0"/>
        <w:autoSpaceDN w:val="0"/>
        <w:adjustRightInd w:val="0"/>
        <w:ind w:left="720" w:hanging="720"/>
        <w:rPr>
          <w:rStyle w:val="vkekvd"/>
          <w:rFonts w:eastAsiaTheme="majorEastAsia"/>
          <w:color w:val="000000" w:themeColor="text1"/>
          <w:shd w:val="clear" w:color="auto" w:fill="FFFFFF"/>
        </w:rPr>
      </w:pPr>
      <w:r w:rsidRPr="00644F82">
        <w:rPr>
          <w:color w:val="000000" w:themeColor="text1"/>
        </w:rPr>
        <w:t>Honey, Maureen</w:t>
      </w:r>
      <w:r w:rsidRPr="00644F82">
        <w:rPr>
          <w:color w:val="000000" w:themeColor="text1"/>
          <w:shd w:val="clear" w:color="auto" w:fill="FFFFFF"/>
        </w:rPr>
        <w:t>. </w:t>
      </w:r>
      <w:r w:rsidRPr="00644F82">
        <w:rPr>
          <w:rStyle w:val="Emphasis"/>
          <w:rFonts w:eastAsiaTheme="majorEastAsia"/>
          <w:color w:val="000000" w:themeColor="text1"/>
          <w:shd w:val="clear" w:color="auto" w:fill="FFFFFF"/>
        </w:rPr>
        <w:t>Creating Rosie the Riveter: Class, Gender, and Propaganda during World War II</w:t>
      </w:r>
      <w:r w:rsidRPr="00644F82">
        <w:rPr>
          <w:color w:val="000000" w:themeColor="text1"/>
          <w:shd w:val="clear" w:color="auto" w:fill="FFFFFF"/>
        </w:rPr>
        <w:t>. University of Massachusetts Press, 1984.</w:t>
      </w:r>
      <w:r w:rsidRPr="00644F82">
        <w:rPr>
          <w:rStyle w:val="vkekvd"/>
          <w:rFonts w:eastAsiaTheme="majorEastAsia"/>
          <w:color w:val="000000" w:themeColor="text1"/>
          <w:shd w:val="clear" w:color="auto" w:fill="FFFFFF"/>
        </w:rPr>
        <w:t> </w:t>
      </w:r>
    </w:p>
    <w:p w14:paraId="187EF421" w14:textId="77777777" w:rsidR="0074766E" w:rsidRPr="00644F82" w:rsidRDefault="0074766E" w:rsidP="00BA2C56">
      <w:pPr>
        <w:autoSpaceDE w:val="0"/>
        <w:autoSpaceDN w:val="0"/>
        <w:adjustRightInd w:val="0"/>
        <w:ind w:left="720" w:hanging="720"/>
        <w:rPr>
          <w:color w:val="000000" w:themeColor="text1"/>
        </w:rPr>
      </w:pPr>
    </w:p>
    <w:p w14:paraId="5968535A" w14:textId="77777777" w:rsidR="0074766E" w:rsidRPr="00644F82" w:rsidRDefault="0074766E" w:rsidP="00BA2C56">
      <w:pPr>
        <w:autoSpaceDE w:val="0"/>
        <w:autoSpaceDN w:val="0"/>
        <w:adjustRightInd w:val="0"/>
        <w:ind w:left="720" w:hanging="720"/>
        <w:rPr>
          <w:color w:val="000000" w:themeColor="text1"/>
        </w:rPr>
      </w:pPr>
      <w:r w:rsidRPr="00644F82">
        <w:rPr>
          <w:color w:val="000000" w:themeColor="text1"/>
        </w:rPr>
        <w:t>Kennedy, David M. </w:t>
      </w:r>
      <w:r w:rsidRPr="00644F82">
        <w:rPr>
          <w:i/>
          <w:iCs/>
          <w:color w:val="000000" w:themeColor="text1"/>
        </w:rPr>
        <w:t>Freedom from Fear: The American People in Depression and War, 1929-1945</w:t>
      </w:r>
      <w:r w:rsidRPr="00644F82">
        <w:rPr>
          <w:color w:val="000000" w:themeColor="text1"/>
        </w:rPr>
        <w:t xml:space="preserve">. New York: Oxford University Press, 1999. </w:t>
      </w:r>
    </w:p>
    <w:p w14:paraId="12529AD6" w14:textId="77777777" w:rsidR="0074766E" w:rsidRPr="00644F82" w:rsidRDefault="0074766E" w:rsidP="00BA2C56">
      <w:pPr>
        <w:autoSpaceDE w:val="0"/>
        <w:autoSpaceDN w:val="0"/>
        <w:adjustRightInd w:val="0"/>
        <w:ind w:left="720" w:hanging="720"/>
        <w:rPr>
          <w:color w:val="000000" w:themeColor="text1"/>
        </w:rPr>
      </w:pPr>
    </w:p>
    <w:p w14:paraId="060AAFE1" w14:textId="77777777"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Kimble, James J., and Lester C. Olson. “Visual Rhetoric Representing Rosie the Riveter: Myth and Misconception in J. Howard Miller’s ‘We Can Do It!’ Poster.” </w:t>
      </w:r>
      <w:r w:rsidRPr="00644F82">
        <w:rPr>
          <w:i/>
          <w:iCs/>
          <w:color w:val="000000" w:themeColor="text1"/>
        </w:rPr>
        <w:t>Rhetoric and Public Affairs</w:t>
      </w:r>
      <w:r w:rsidRPr="00644F82">
        <w:rPr>
          <w:color w:val="000000" w:themeColor="text1"/>
        </w:rPr>
        <w:t xml:space="preserve"> 9, no. 4 (2006): 533–69.</w:t>
      </w:r>
      <w:hyperlink r:id="rId43" w:history="1">
        <w:r w:rsidRPr="00644F82">
          <w:rPr>
            <w:rStyle w:val="Hyperlink"/>
            <w:rFonts w:eastAsiaTheme="majorEastAsia"/>
            <w:color w:val="000000" w:themeColor="text1"/>
          </w:rPr>
          <w:t xml:space="preserve"> http://www.jstor.org/stable/41940102</w:t>
        </w:r>
      </w:hyperlink>
      <w:r w:rsidRPr="00644F82">
        <w:rPr>
          <w:color w:val="000000" w:themeColor="text1"/>
        </w:rPr>
        <w:t>.</w:t>
      </w:r>
    </w:p>
    <w:p w14:paraId="6309FDB0" w14:textId="77777777" w:rsidR="0074766E" w:rsidRPr="00644F82" w:rsidRDefault="0074766E" w:rsidP="00BA2C56">
      <w:pPr>
        <w:autoSpaceDE w:val="0"/>
        <w:autoSpaceDN w:val="0"/>
        <w:adjustRightInd w:val="0"/>
        <w:ind w:left="720" w:hanging="720"/>
        <w:rPr>
          <w:color w:val="000000" w:themeColor="text1"/>
        </w:rPr>
      </w:pPr>
    </w:p>
    <w:p w14:paraId="11563690" w14:textId="77777777"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Knaff, Donna B. </w:t>
      </w:r>
      <w:r w:rsidRPr="00644F82">
        <w:rPr>
          <w:i/>
          <w:iCs/>
          <w:color w:val="000000" w:themeColor="text1"/>
        </w:rPr>
        <w:t>Beyond Rosie the Riveter: Women of World War II in American Popular Graphic Art</w:t>
      </w:r>
      <w:r w:rsidRPr="00644F82">
        <w:rPr>
          <w:color w:val="000000" w:themeColor="text1"/>
        </w:rPr>
        <w:t>. Lawrence: University Press of Kansas, 2012.</w:t>
      </w:r>
    </w:p>
    <w:p w14:paraId="3377DBD3" w14:textId="77777777" w:rsidR="0074766E" w:rsidRPr="00644F82" w:rsidRDefault="0074766E" w:rsidP="00BA2C56">
      <w:pPr>
        <w:autoSpaceDE w:val="0"/>
        <w:autoSpaceDN w:val="0"/>
        <w:adjustRightInd w:val="0"/>
        <w:ind w:left="720" w:hanging="720"/>
        <w:rPr>
          <w:color w:val="000000" w:themeColor="text1"/>
        </w:rPr>
      </w:pPr>
    </w:p>
    <w:p w14:paraId="1838F942" w14:textId="77777777"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Kossoudji, Sherrie A., and Laura J. Dresser. “Working Class Rosies: Women Industrial Workers during World War II.” </w:t>
      </w:r>
      <w:r w:rsidRPr="00644F82">
        <w:rPr>
          <w:i/>
          <w:iCs/>
          <w:color w:val="000000" w:themeColor="text1"/>
        </w:rPr>
        <w:t>The Journal of Economic History</w:t>
      </w:r>
      <w:r w:rsidRPr="00644F82">
        <w:rPr>
          <w:color w:val="000000" w:themeColor="text1"/>
        </w:rPr>
        <w:t xml:space="preserve"> 52, no. 2 (1992): 431–46.</w:t>
      </w:r>
      <w:hyperlink r:id="rId44" w:history="1">
        <w:r w:rsidRPr="00644F82">
          <w:rPr>
            <w:rStyle w:val="Hyperlink"/>
            <w:rFonts w:eastAsiaTheme="majorEastAsia"/>
            <w:color w:val="000000" w:themeColor="text1"/>
          </w:rPr>
          <w:t xml:space="preserve"> http://www.jstor.org/stable/2123119</w:t>
        </w:r>
      </w:hyperlink>
      <w:r w:rsidRPr="00644F82">
        <w:rPr>
          <w:color w:val="000000" w:themeColor="text1"/>
        </w:rPr>
        <w:t>.</w:t>
      </w:r>
    </w:p>
    <w:p w14:paraId="7F5B4A88" w14:textId="77777777" w:rsidR="0074766E" w:rsidRPr="00644F82" w:rsidRDefault="0074766E" w:rsidP="00BA2C56">
      <w:pPr>
        <w:autoSpaceDE w:val="0"/>
        <w:autoSpaceDN w:val="0"/>
        <w:adjustRightInd w:val="0"/>
        <w:rPr>
          <w:color w:val="000000" w:themeColor="text1"/>
        </w:rPr>
      </w:pPr>
    </w:p>
    <w:p w14:paraId="3B8603AF" w14:textId="1F4819C8" w:rsidR="00450F5D" w:rsidRPr="00644F82" w:rsidRDefault="00450F5D" w:rsidP="00BA2C56">
      <w:pPr>
        <w:autoSpaceDE w:val="0"/>
        <w:autoSpaceDN w:val="0"/>
        <w:adjustRightInd w:val="0"/>
        <w:ind w:left="720" w:hanging="720"/>
        <w:rPr>
          <w:color w:val="000000" w:themeColor="text1"/>
        </w:rPr>
      </w:pPr>
      <w:r w:rsidRPr="00644F82">
        <w:rPr>
          <w:color w:val="000000" w:themeColor="text1"/>
        </w:rPr>
        <w:t xml:space="preserve">Lerner, Gerda. “Placing Women in History: Definitions and Challenges.” </w:t>
      </w:r>
      <w:r w:rsidRPr="00644F82">
        <w:rPr>
          <w:i/>
          <w:color w:val="000000" w:themeColor="text1"/>
        </w:rPr>
        <w:t>Feminist Studies</w:t>
      </w:r>
      <w:r w:rsidRPr="00644F82">
        <w:rPr>
          <w:color w:val="000000" w:themeColor="text1"/>
        </w:rPr>
        <w:t xml:space="preserve"> 3, no. 1/2 (1975): 5–14.</w:t>
      </w:r>
      <w:hyperlink r:id="rId45">
        <w:r w:rsidRPr="00644F82">
          <w:rPr>
            <w:color w:val="000000" w:themeColor="text1"/>
          </w:rPr>
          <w:t xml:space="preserve"> </w:t>
        </w:r>
      </w:hyperlink>
      <w:hyperlink r:id="rId46">
        <w:r w:rsidRPr="00644F82">
          <w:rPr>
            <w:color w:val="000000" w:themeColor="text1"/>
            <w:u w:val="single"/>
          </w:rPr>
          <w:t>https://doi.org/10.2307/3518951</w:t>
        </w:r>
      </w:hyperlink>
      <w:r w:rsidRPr="00644F82">
        <w:rPr>
          <w:color w:val="000000" w:themeColor="text1"/>
        </w:rPr>
        <w:t>.</w:t>
      </w:r>
    </w:p>
    <w:p w14:paraId="42D44860" w14:textId="77777777" w:rsidR="00450F5D" w:rsidRPr="00644F82" w:rsidRDefault="00450F5D" w:rsidP="00BA2C56">
      <w:pPr>
        <w:autoSpaceDE w:val="0"/>
        <w:autoSpaceDN w:val="0"/>
        <w:adjustRightInd w:val="0"/>
        <w:ind w:left="720" w:hanging="720"/>
        <w:rPr>
          <w:color w:val="000000" w:themeColor="text1"/>
        </w:rPr>
      </w:pPr>
    </w:p>
    <w:p w14:paraId="6C474674" w14:textId="76692A3B"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Mahaney, Darlene C. “Propaganda Posters.” </w:t>
      </w:r>
      <w:r w:rsidRPr="00644F82">
        <w:rPr>
          <w:i/>
          <w:iCs/>
          <w:color w:val="000000" w:themeColor="text1"/>
        </w:rPr>
        <w:t>OAH Magazine of History</w:t>
      </w:r>
      <w:r w:rsidRPr="00644F82">
        <w:rPr>
          <w:color w:val="000000" w:themeColor="text1"/>
        </w:rPr>
        <w:t xml:space="preserve"> 16, no. 3 (2002): 41–46. </w:t>
      </w:r>
      <w:hyperlink r:id="rId47" w:history="1">
        <w:r w:rsidRPr="00644F82">
          <w:rPr>
            <w:rStyle w:val="Hyperlink"/>
            <w:color w:val="000000" w:themeColor="text1"/>
          </w:rPr>
          <w:t>http://www.jstor.org/stable/25163525</w:t>
        </w:r>
      </w:hyperlink>
      <w:r w:rsidRPr="00644F82">
        <w:rPr>
          <w:color w:val="000000" w:themeColor="text1"/>
        </w:rPr>
        <w:t xml:space="preserve">. </w:t>
      </w:r>
    </w:p>
    <w:p w14:paraId="0566C482" w14:textId="77777777" w:rsidR="0074766E" w:rsidRPr="00644F82" w:rsidRDefault="0074766E" w:rsidP="00BA2C56">
      <w:pPr>
        <w:autoSpaceDE w:val="0"/>
        <w:autoSpaceDN w:val="0"/>
        <w:adjustRightInd w:val="0"/>
        <w:rPr>
          <w:color w:val="000000" w:themeColor="text1"/>
        </w:rPr>
      </w:pPr>
    </w:p>
    <w:p w14:paraId="076BB1E5" w14:textId="77777777" w:rsidR="00DE5C79" w:rsidRPr="00644F82" w:rsidRDefault="00DE5C79" w:rsidP="00BA2C56">
      <w:pPr>
        <w:autoSpaceDE w:val="0"/>
        <w:autoSpaceDN w:val="0"/>
        <w:adjustRightInd w:val="0"/>
        <w:ind w:left="720" w:hanging="720"/>
        <w:rPr>
          <w:color w:val="000000" w:themeColor="text1"/>
        </w:rPr>
      </w:pPr>
      <w:r w:rsidRPr="00644F82">
        <w:rPr>
          <w:color w:val="000000" w:themeColor="text1"/>
        </w:rPr>
        <w:t xml:space="preserve">National WWI Museum and Memorial. “Service Flag.” TheWorldWar.org. Accessed December 8, 2025. </w:t>
      </w:r>
      <w:hyperlink r:id="rId48" w:history="1">
        <w:r w:rsidRPr="00644F82">
          <w:rPr>
            <w:rStyle w:val="Hyperlink"/>
            <w:color w:val="000000" w:themeColor="text1"/>
          </w:rPr>
          <w:t>https://www.theworldwar.org/learn/about-wwi/service-flag</w:t>
        </w:r>
      </w:hyperlink>
      <w:r w:rsidRPr="00644F82">
        <w:rPr>
          <w:color w:val="000000" w:themeColor="text1"/>
        </w:rPr>
        <w:t xml:space="preserve">. </w:t>
      </w:r>
    </w:p>
    <w:p w14:paraId="57455DA6" w14:textId="4DA32914" w:rsidR="00DE5C79" w:rsidRPr="00644F82" w:rsidRDefault="00DE5C79" w:rsidP="00BA2C56">
      <w:pPr>
        <w:autoSpaceDE w:val="0"/>
        <w:autoSpaceDN w:val="0"/>
        <w:adjustRightInd w:val="0"/>
        <w:ind w:left="720" w:hanging="720"/>
        <w:rPr>
          <w:color w:val="000000" w:themeColor="text1"/>
        </w:rPr>
      </w:pPr>
      <w:r w:rsidRPr="00644F82">
        <w:rPr>
          <w:color w:val="000000" w:themeColor="text1"/>
        </w:rPr>
        <w:t xml:space="preserve"> </w:t>
      </w:r>
    </w:p>
    <w:p w14:paraId="528D6626" w14:textId="11432093" w:rsidR="0074766E"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Rupp, Leila J. </w:t>
      </w:r>
      <w:r w:rsidRPr="00644F82">
        <w:rPr>
          <w:i/>
          <w:iCs/>
          <w:color w:val="000000" w:themeColor="text1"/>
        </w:rPr>
        <w:t>Mobilizing Women for War: German and American Propaganda, 1939-1945</w:t>
      </w:r>
      <w:r w:rsidRPr="00644F82">
        <w:rPr>
          <w:color w:val="000000" w:themeColor="text1"/>
        </w:rPr>
        <w:t>. Princeton University Press, 1978.</w:t>
      </w:r>
      <w:hyperlink r:id="rId49" w:history="1">
        <w:r w:rsidRPr="00644F82">
          <w:rPr>
            <w:rStyle w:val="Hyperlink"/>
            <w:rFonts w:eastAsiaTheme="majorEastAsia"/>
            <w:color w:val="000000" w:themeColor="text1"/>
          </w:rPr>
          <w:t xml:space="preserve"> http://www.jstor.org/stable/j.ctt13x1cs7</w:t>
        </w:r>
      </w:hyperlink>
      <w:r w:rsidRPr="00644F82">
        <w:rPr>
          <w:color w:val="000000" w:themeColor="text1"/>
        </w:rPr>
        <w:t>.</w:t>
      </w:r>
    </w:p>
    <w:p w14:paraId="15949F1E" w14:textId="77777777" w:rsidR="0074766E" w:rsidRPr="00644F82" w:rsidRDefault="0074766E" w:rsidP="00BA2C56">
      <w:pPr>
        <w:autoSpaceDE w:val="0"/>
        <w:autoSpaceDN w:val="0"/>
        <w:adjustRightInd w:val="0"/>
        <w:ind w:left="720" w:hanging="720"/>
        <w:rPr>
          <w:color w:val="000000" w:themeColor="text1"/>
        </w:rPr>
      </w:pPr>
    </w:p>
    <w:p w14:paraId="10D404C7" w14:textId="77777777" w:rsidR="00450F5D" w:rsidRPr="00644F82" w:rsidRDefault="0074766E" w:rsidP="00BA2C56">
      <w:pPr>
        <w:autoSpaceDE w:val="0"/>
        <w:autoSpaceDN w:val="0"/>
        <w:adjustRightInd w:val="0"/>
        <w:ind w:left="720" w:hanging="720"/>
        <w:rPr>
          <w:color w:val="000000" w:themeColor="text1"/>
        </w:rPr>
      </w:pPr>
      <w:r w:rsidRPr="00644F82">
        <w:rPr>
          <w:color w:val="000000" w:themeColor="text1"/>
        </w:rPr>
        <w:t xml:space="preserve">Schweitzer, Mary M. “World War II and Female Labor Force Participation Rates.” </w:t>
      </w:r>
      <w:r w:rsidRPr="00644F82">
        <w:rPr>
          <w:i/>
          <w:iCs/>
          <w:color w:val="000000" w:themeColor="text1"/>
        </w:rPr>
        <w:t>The Journal of Economic History</w:t>
      </w:r>
      <w:r w:rsidRPr="00644F82">
        <w:rPr>
          <w:color w:val="000000" w:themeColor="text1"/>
        </w:rPr>
        <w:t xml:space="preserve"> 40, no. 1 (1980): 89–95. </w:t>
      </w:r>
      <w:hyperlink r:id="rId50" w:history="1">
        <w:r w:rsidRPr="00644F82">
          <w:rPr>
            <w:rStyle w:val="Hyperlink"/>
            <w:color w:val="000000" w:themeColor="text1"/>
          </w:rPr>
          <w:t>http://www.jstor.org/stable/2120427</w:t>
        </w:r>
      </w:hyperlink>
      <w:r w:rsidRPr="00644F82">
        <w:rPr>
          <w:color w:val="000000" w:themeColor="text1"/>
        </w:rPr>
        <w:t>.</w:t>
      </w:r>
    </w:p>
    <w:p w14:paraId="04A5D6A5" w14:textId="77777777" w:rsidR="00450F5D" w:rsidRPr="00644F82" w:rsidRDefault="00450F5D" w:rsidP="00BA2C56">
      <w:pPr>
        <w:autoSpaceDE w:val="0"/>
        <w:autoSpaceDN w:val="0"/>
        <w:adjustRightInd w:val="0"/>
        <w:ind w:left="720" w:hanging="720"/>
        <w:rPr>
          <w:color w:val="000000" w:themeColor="text1"/>
        </w:rPr>
      </w:pPr>
    </w:p>
    <w:p w14:paraId="7A97EAA9" w14:textId="77777777" w:rsidR="00450F5D" w:rsidRPr="00644F82" w:rsidRDefault="00450F5D" w:rsidP="00BA2C56">
      <w:pPr>
        <w:autoSpaceDE w:val="0"/>
        <w:autoSpaceDN w:val="0"/>
        <w:adjustRightInd w:val="0"/>
        <w:ind w:left="720" w:hanging="720"/>
        <w:rPr>
          <w:color w:val="000000" w:themeColor="text1"/>
        </w:rPr>
      </w:pPr>
      <w:r w:rsidRPr="00644F82">
        <w:rPr>
          <w:color w:val="000000" w:themeColor="text1"/>
        </w:rPr>
        <w:t xml:space="preserve">Scott, Joan W. “Gender: A Useful Category of Historical Analysis.” </w:t>
      </w:r>
      <w:r w:rsidRPr="00644F82">
        <w:rPr>
          <w:i/>
          <w:iCs/>
          <w:color w:val="000000" w:themeColor="text1"/>
        </w:rPr>
        <w:t>The American Historical Review</w:t>
      </w:r>
      <w:r w:rsidRPr="00644F82">
        <w:rPr>
          <w:color w:val="000000" w:themeColor="text1"/>
        </w:rPr>
        <w:t xml:space="preserve"> 91, no. 5 (1986): 1053–75. </w:t>
      </w:r>
      <w:hyperlink r:id="rId51" w:history="1">
        <w:r w:rsidRPr="00644F82">
          <w:rPr>
            <w:rStyle w:val="Hyperlink"/>
            <w:color w:val="000000" w:themeColor="text1"/>
          </w:rPr>
          <w:t>https://doi.org/10.2307/1864376</w:t>
        </w:r>
      </w:hyperlink>
      <w:r w:rsidRPr="00644F82">
        <w:rPr>
          <w:color w:val="000000" w:themeColor="text1"/>
        </w:rPr>
        <w:t xml:space="preserve">. </w:t>
      </w:r>
    </w:p>
    <w:p w14:paraId="28E60F42" w14:textId="77777777" w:rsidR="00450F5D" w:rsidRPr="00644F82" w:rsidRDefault="00450F5D" w:rsidP="00BA2C56">
      <w:pPr>
        <w:autoSpaceDE w:val="0"/>
        <w:autoSpaceDN w:val="0"/>
        <w:adjustRightInd w:val="0"/>
        <w:ind w:left="720" w:hanging="720"/>
        <w:rPr>
          <w:color w:val="000000" w:themeColor="text1"/>
        </w:rPr>
      </w:pPr>
    </w:p>
    <w:p w14:paraId="171EFB0B" w14:textId="778C1DB7" w:rsidR="0074766E" w:rsidRPr="00644F82" w:rsidRDefault="00450F5D" w:rsidP="00BA2C56">
      <w:pPr>
        <w:autoSpaceDE w:val="0"/>
        <w:autoSpaceDN w:val="0"/>
        <w:adjustRightInd w:val="0"/>
        <w:ind w:left="720" w:hanging="720"/>
        <w:rPr>
          <w:color w:val="000000" w:themeColor="text1"/>
        </w:rPr>
      </w:pPr>
      <w:r w:rsidRPr="00644F82">
        <w:rPr>
          <w:color w:val="000000" w:themeColor="text1"/>
        </w:rPr>
        <w:t xml:space="preserve">Tilly, Louise A. “Gender, Women’s History, and Social History.” </w:t>
      </w:r>
      <w:r w:rsidRPr="00644F82">
        <w:rPr>
          <w:i/>
          <w:iCs/>
          <w:color w:val="000000" w:themeColor="text1"/>
        </w:rPr>
        <w:t>Social Science History</w:t>
      </w:r>
      <w:r w:rsidRPr="00644F82">
        <w:rPr>
          <w:color w:val="000000" w:themeColor="text1"/>
        </w:rPr>
        <w:t xml:space="preserve"> 13, no. 4 (1989): 439–62. </w:t>
      </w:r>
      <w:hyperlink r:id="rId52" w:history="1">
        <w:r w:rsidRPr="00644F82">
          <w:rPr>
            <w:rStyle w:val="Hyperlink"/>
            <w:color w:val="000000" w:themeColor="text1"/>
          </w:rPr>
          <w:t>https://doi.org/10.2307/1171222</w:t>
        </w:r>
      </w:hyperlink>
      <w:r w:rsidRPr="00644F82">
        <w:rPr>
          <w:color w:val="000000" w:themeColor="text1"/>
        </w:rPr>
        <w:t xml:space="preserve">. </w:t>
      </w:r>
    </w:p>
    <w:sectPr w:rsidR="0074766E" w:rsidRPr="00644F82" w:rsidSect="00E523AC">
      <w:headerReference w:type="even" r:id="rId53"/>
      <w:headerReference w:type="default" r:id="rId5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A234B" w14:textId="77777777" w:rsidR="001D3E5B" w:rsidRDefault="001D3E5B" w:rsidP="0074766E">
      <w:r>
        <w:separator/>
      </w:r>
    </w:p>
  </w:endnote>
  <w:endnote w:type="continuationSeparator" w:id="0">
    <w:p w14:paraId="2291743D" w14:textId="77777777" w:rsidR="001D3E5B" w:rsidRDefault="001D3E5B" w:rsidP="0074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8EF6" w14:textId="77777777" w:rsidR="001D3E5B" w:rsidRDefault="001D3E5B" w:rsidP="0074766E">
      <w:r>
        <w:separator/>
      </w:r>
    </w:p>
  </w:footnote>
  <w:footnote w:type="continuationSeparator" w:id="0">
    <w:p w14:paraId="2872AA65" w14:textId="77777777" w:rsidR="001D3E5B" w:rsidRDefault="001D3E5B" w:rsidP="0074766E">
      <w:r>
        <w:continuationSeparator/>
      </w:r>
    </w:p>
  </w:footnote>
  <w:footnote w:id="1">
    <w:p w14:paraId="40AF8804"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David M. Kennedy, </w:t>
      </w:r>
      <w:r w:rsidRPr="005216DB">
        <w:rPr>
          <w:i/>
          <w:iCs/>
          <w:color w:val="000000" w:themeColor="text1"/>
        </w:rPr>
        <w:t>Freedom from Fear: The American People in Depression and War, 1929-1945</w:t>
      </w:r>
      <w:r w:rsidRPr="005216DB">
        <w:rPr>
          <w:color w:val="000000" w:themeColor="text1"/>
        </w:rPr>
        <w:t>, New York: Oxford University Press, 1999, 776.</w:t>
      </w:r>
    </w:p>
  </w:footnote>
  <w:footnote w:id="2">
    <w:p w14:paraId="2901E33C"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Mary M. Schweitzer, “World War II and Female Labor Force Participation Rates,” </w:t>
      </w:r>
      <w:r w:rsidRPr="005216DB">
        <w:rPr>
          <w:i/>
          <w:iCs/>
          <w:color w:val="000000" w:themeColor="text1"/>
        </w:rPr>
        <w:t>The Journal of Economic History</w:t>
      </w:r>
      <w:r w:rsidRPr="005216DB">
        <w:rPr>
          <w:color w:val="000000" w:themeColor="text1"/>
        </w:rPr>
        <w:t xml:space="preserve"> 40, no. 1 (1980): 90. </w:t>
      </w:r>
    </w:p>
  </w:footnote>
  <w:footnote w:id="3">
    <w:p w14:paraId="48775036"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w:t>
      </w:r>
    </w:p>
  </w:footnote>
  <w:footnote w:id="4">
    <w:p w14:paraId="244CF22C"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w:t>
      </w:r>
    </w:p>
  </w:footnote>
  <w:footnote w:id="5">
    <w:p w14:paraId="36F3518F" w14:textId="0620C823" w:rsidR="0074766E" w:rsidRPr="005216DB" w:rsidRDefault="0074766E" w:rsidP="00065B83">
      <w:pPr>
        <w:pStyle w:val="FootnoteText"/>
        <w:rPr>
          <w:i/>
          <w:iCs/>
          <w:color w:val="000000" w:themeColor="text1"/>
        </w:rPr>
      </w:pPr>
      <w:r w:rsidRPr="005216DB">
        <w:rPr>
          <w:rStyle w:val="FootnoteReference"/>
          <w:color w:val="000000" w:themeColor="text1"/>
        </w:rPr>
        <w:footnoteRef/>
      </w:r>
      <w:r w:rsidRPr="005216DB">
        <w:rPr>
          <w:color w:val="000000" w:themeColor="text1"/>
        </w:rPr>
        <w:t xml:space="preserve"> See</w:t>
      </w:r>
      <w:r w:rsidRPr="005216DB">
        <w:rPr>
          <w:i/>
          <w:iCs/>
          <w:color w:val="000000" w:themeColor="text1"/>
        </w:rPr>
        <w:t xml:space="preserve"> </w:t>
      </w:r>
      <w:r w:rsidRPr="005216DB">
        <w:rPr>
          <w:color w:val="000000" w:themeColor="text1"/>
        </w:rPr>
        <w:t xml:space="preserve">Sherna Berger Gluck, </w:t>
      </w:r>
      <w:r w:rsidRPr="005216DB">
        <w:rPr>
          <w:i/>
          <w:iCs/>
          <w:color w:val="000000" w:themeColor="text1"/>
        </w:rPr>
        <w:t>Rosie the Riveter Revisited: Women, the War, and Social Change</w:t>
      </w:r>
      <w:r w:rsidRPr="005216DB">
        <w:rPr>
          <w:color w:val="000000" w:themeColor="text1"/>
        </w:rPr>
        <w:t>, Plume, 1988</w:t>
      </w:r>
      <w:r w:rsidR="003E2014" w:rsidRPr="005216DB">
        <w:rPr>
          <w:color w:val="000000" w:themeColor="text1"/>
        </w:rPr>
        <w:t xml:space="preserve">; </w:t>
      </w:r>
      <w:r w:rsidRPr="005216DB">
        <w:rPr>
          <w:color w:val="000000" w:themeColor="text1"/>
        </w:rPr>
        <w:t>and James J. Kimble and Lester C. Olson, “Visual Rhetoric Representing Rosie the Riveter: Myth and Misconception in J. Howard Miller’s ‘We Can Do It!’ Poster,” Rhetoric and Public Affairs, no. 4 (2006).</w:t>
      </w:r>
    </w:p>
  </w:footnote>
  <w:footnote w:id="6">
    <w:p w14:paraId="4370C185"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Kimble and Olson, “Visual Rhetoric Representing Rosie the Riveter: Myth and Misconception in J. Howard Miller’s ‘We Can Do It!’ Poster,” 534.</w:t>
      </w:r>
    </w:p>
  </w:footnote>
  <w:footnote w:id="7">
    <w:p w14:paraId="6B644CE9" w14:textId="19A2FCB3" w:rsidR="007B736E" w:rsidRPr="005216DB" w:rsidRDefault="007B736E" w:rsidP="007B736E">
      <w:pPr>
        <w:pStyle w:val="FootnoteText"/>
      </w:pPr>
      <w:r w:rsidRPr="005216DB">
        <w:rPr>
          <w:rStyle w:val="FootnoteReference"/>
        </w:rPr>
        <w:footnoteRef/>
      </w:r>
      <w:r w:rsidRPr="005216DB">
        <w:t xml:space="preserve"> </w:t>
      </w:r>
      <w:r w:rsidR="00F14609" w:rsidRPr="005216DB">
        <w:t xml:space="preserve">Note that the historiographical section of this paper has been significantly condensed per the requirements of the journal. As a result, here are the references to other scholars whose work directly relates to discussions presented in this paper. </w:t>
      </w:r>
      <w:r w:rsidR="00F14609" w:rsidRPr="005216DB">
        <w:rPr>
          <w:color w:val="000000" w:themeColor="text1"/>
        </w:rPr>
        <w:t xml:space="preserve">Donna B. Knaff, </w:t>
      </w:r>
      <w:r w:rsidR="00F14609" w:rsidRPr="005216DB">
        <w:rPr>
          <w:i/>
          <w:iCs/>
          <w:color w:val="000000" w:themeColor="text1"/>
        </w:rPr>
        <w:t>Beyond Rosie the Riveter: Women of World War II in American Popular Graphic Art</w:t>
      </w:r>
      <w:r w:rsidR="00F14609" w:rsidRPr="005216DB">
        <w:rPr>
          <w:color w:val="000000" w:themeColor="text1"/>
        </w:rPr>
        <w:t xml:space="preserve"> (University Press of Kansas, 2012): 2-3; Leila J. Rupp, </w:t>
      </w:r>
      <w:r w:rsidR="00F14609" w:rsidRPr="005216DB">
        <w:rPr>
          <w:i/>
          <w:iCs/>
          <w:color w:val="000000" w:themeColor="text1"/>
        </w:rPr>
        <w:t>Mobilizing Women for War: German and American Propaganda, 1939-1945</w:t>
      </w:r>
      <w:r w:rsidR="00F14609" w:rsidRPr="005216DB">
        <w:rPr>
          <w:color w:val="000000" w:themeColor="text1"/>
        </w:rPr>
        <w:t xml:space="preserve"> (Princeton University Press, 1978)</w:t>
      </w:r>
      <w:r w:rsidR="00F14609" w:rsidRPr="005216DB">
        <w:rPr>
          <w:i/>
          <w:iCs/>
          <w:color w:val="000000" w:themeColor="text1"/>
        </w:rPr>
        <w:t xml:space="preserve">, </w:t>
      </w:r>
      <w:r w:rsidR="00F14609" w:rsidRPr="005216DB">
        <w:rPr>
          <w:color w:val="000000" w:themeColor="text1"/>
        </w:rPr>
        <w:t xml:space="preserve">138 and see poster references on 154 and 158; Michelle Smith, “In Rosie’s Shadow: World War II Recruitment Rhetoric and Women’s Work in Public Memory,” in </w:t>
      </w:r>
      <w:r w:rsidR="00F14609" w:rsidRPr="005216DB">
        <w:rPr>
          <w:i/>
          <w:iCs/>
          <w:color w:val="000000" w:themeColor="text1"/>
        </w:rPr>
        <w:t>Women’s Work: Rhetorics of Gender and Labor</w:t>
      </w:r>
      <w:r w:rsidR="00F14609" w:rsidRPr="005216DB">
        <w:rPr>
          <w:color w:val="000000" w:themeColor="text1"/>
        </w:rPr>
        <w:t>, ed. David Gold and Jessica Enoch (University of Pittsburgh Press, 2019), 187.</w:t>
      </w:r>
    </w:p>
  </w:footnote>
  <w:footnote w:id="8">
    <w:p w14:paraId="4CBEC4CC" w14:textId="7E0930EF" w:rsidR="00591356" w:rsidRPr="005216DB" w:rsidRDefault="00591356">
      <w:pPr>
        <w:pStyle w:val="FootnoteText"/>
        <w:rPr>
          <w:color w:val="000000" w:themeColor="text1"/>
        </w:rPr>
      </w:pPr>
      <w:r w:rsidRPr="005216DB">
        <w:rPr>
          <w:rStyle w:val="FootnoteReference"/>
          <w:color w:val="000000" w:themeColor="text1"/>
        </w:rPr>
        <w:footnoteRef/>
      </w:r>
      <w:r w:rsidR="005216DB" w:rsidRPr="005216DB">
        <w:rPr>
          <w:color w:val="000000" w:themeColor="text1"/>
        </w:rPr>
        <w:t xml:space="preserve"> </w:t>
      </w:r>
      <w:r w:rsidR="005216DB" w:rsidRPr="005216DB">
        <w:rPr>
          <w:color w:val="000000" w:themeColor="text1"/>
        </w:rPr>
        <w:t xml:space="preserve">Louise A. Tilly, “Gender, Women’s History, and Social History,” </w:t>
      </w:r>
      <w:r w:rsidR="005216DB" w:rsidRPr="005216DB">
        <w:rPr>
          <w:rStyle w:val="Emphasis"/>
          <w:rFonts w:eastAsiaTheme="majorEastAsia"/>
          <w:color w:val="000000" w:themeColor="text1"/>
        </w:rPr>
        <w:t>Social Science History</w:t>
      </w:r>
      <w:r w:rsidR="005216DB" w:rsidRPr="005216DB">
        <w:rPr>
          <w:color w:val="000000" w:themeColor="text1"/>
        </w:rPr>
        <w:t xml:space="preserve"> 13, no. 4 (1989):</w:t>
      </w:r>
      <w:r w:rsidR="00450F5D" w:rsidRPr="005216DB">
        <w:rPr>
          <w:color w:val="000000" w:themeColor="text1"/>
        </w:rPr>
        <w:t xml:space="preserve"> </w:t>
      </w:r>
      <w:r w:rsidRPr="005216DB">
        <w:rPr>
          <w:color w:val="000000" w:themeColor="text1"/>
        </w:rPr>
        <w:t>451-452</w:t>
      </w:r>
      <w:r w:rsidR="00450F5D" w:rsidRPr="005216DB">
        <w:rPr>
          <w:color w:val="000000" w:themeColor="text1"/>
        </w:rPr>
        <w:t>.</w:t>
      </w:r>
    </w:p>
  </w:footnote>
  <w:footnote w:id="9">
    <w:p w14:paraId="390D5FB0" w14:textId="198383C5" w:rsidR="00613814" w:rsidRPr="005216DB" w:rsidRDefault="00613814">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5216DB" w:rsidRPr="005216DB">
        <w:rPr>
          <w:color w:val="000000" w:themeColor="text1"/>
        </w:rPr>
        <w:t xml:space="preserve">Joan W. Scott, “Gender: A Useful Category of Historical Analysis,” </w:t>
      </w:r>
      <w:r w:rsidR="005216DB" w:rsidRPr="005216DB">
        <w:rPr>
          <w:rStyle w:val="Emphasis"/>
          <w:rFonts w:eastAsiaTheme="majorEastAsia"/>
          <w:color w:val="000000" w:themeColor="text1"/>
        </w:rPr>
        <w:t>The American Historical Review</w:t>
      </w:r>
      <w:r w:rsidR="005216DB" w:rsidRPr="005216DB">
        <w:rPr>
          <w:color w:val="000000" w:themeColor="text1"/>
        </w:rPr>
        <w:t xml:space="preserve"> 91, no. 5 (1986): </w:t>
      </w:r>
      <w:r w:rsidRPr="005216DB">
        <w:rPr>
          <w:color w:val="000000" w:themeColor="text1"/>
        </w:rPr>
        <w:t>1067</w:t>
      </w:r>
      <w:r w:rsidR="00450F5D" w:rsidRPr="005216DB">
        <w:rPr>
          <w:color w:val="000000" w:themeColor="text1"/>
        </w:rPr>
        <w:t>.</w:t>
      </w:r>
    </w:p>
  </w:footnote>
  <w:footnote w:id="10">
    <w:p w14:paraId="734113EA" w14:textId="251F7321" w:rsidR="0087414E" w:rsidRPr="005216DB" w:rsidRDefault="0087414E">
      <w:pPr>
        <w:pStyle w:val="FootnoteText"/>
        <w:rPr>
          <w:color w:val="000000" w:themeColor="text1"/>
        </w:rPr>
      </w:pPr>
      <w:r w:rsidRPr="005216DB">
        <w:rPr>
          <w:rStyle w:val="FootnoteReference"/>
          <w:color w:val="000000" w:themeColor="text1"/>
        </w:rPr>
        <w:footnoteRef/>
      </w:r>
      <w:r w:rsidRPr="005216DB">
        <w:rPr>
          <w:color w:val="000000" w:themeColor="text1"/>
        </w:rPr>
        <w:t xml:space="preserve"> Scott, 1068. </w:t>
      </w:r>
    </w:p>
  </w:footnote>
  <w:footnote w:id="11">
    <w:p w14:paraId="5262B05D" w14:textId="7B8088B0" w:rsidR="0087414E" w:rsidRPr="005216DB" w:rsidRDefault="0087414E">
      <w:pPr>
        <w:pStyle w:val="FootnoteText"/>
        <w:rPr>
          <w:color w:val="000000" w:themeColor="text1"/>
        </w:rPr>
      </w:pPr>
      <w:r w:rsidRPr="005216DB">
        <w:rPr>
          <w:rStyle w:val="FootnoteReference"/>
          <w:color w:val="000000" w:themeColor="text1"/>
        </w:rPr>
        <w:footnoteRef/>
      </w:r>
      <w:r w:rsidRPr="005216DB">
        <w:rPr>
          <w:color w:val="000000" w:themeColor="text1"/>
        </w:rPr>
        <w:t xml:space="preserve"> Scott, 1068. </w:t>
      </w:r>
    </w:p>
  </w:footnote>
  <w:footnote w:id="12">
    <w:p w14:paraId="0E047D9E" w14:textId="6AD14206" w:rsidR="004448CA" w:rsidRPr="005216DB" w:rsidRDefault="004448CA">
      <w:pPr>
        <w:pStyle w:val="FootnoteText"/>
        <w:rPr>
          <w:color w:val="000000" w:themeColor="text1"/>
        </w:rPr>
      </w:pPr>
      <w:r w:rsidRPr="005216DB">
        <w:rPr>
          <w:rStyle w:val="FootnoteReference"/>
          <w:color w:val="000000" w:themeColor="text1"/>
        </w:rPr>
        <w:footnoteRef/>
      </w:r>
      <w:r w:rsidRPr="005216DB">
        <w:rPr>
          <w:color w:val="000000" w:themeColor="text1"/>
        </w:rPr>
        <w:t xml:space="preserve"> Scott, 1072. </w:t>
      </w:r>
    </w:p>
  </w:footnote>
  <w:footnote w:id="13">
    <w:p w14:paraId="179C8436" w14:textId="57789075" w:rsidR="004448CA" w:rsidRPr="005216DB" w:rsidRDefault="004448CA">
      <w:pPr>
        <w:pStyle w:val="FootnoteText"/>
        <w:rPr>
          <w:color w:val="000000" w:themeColor="text1"/>
        </w:rPr>
      </w:pPr>
      <w:r w:rsidRPr="005216DB">
        <w:rPr>
          <w:rStyle w:val="FootnoteReference"/>
          <w:color w:val="000000" w:themeColor="text1"/>
        </w:rPr>
        <w:footnoteRef/>
      </w:r>
      <w:r w:rsidRPr="005216DB">
        <w:rPr>
          <w:color w:val="000000" w:themeColor="text1"/>
        </w:rPr>
        <w:t xml:space="preserve"> Scott, 1072-1074. </w:t>
      </w:r>
    </w:p>
  </w:footnote>
  <w:footnote w:id="14">
    <w:p w14:paraId="041DA400" w14:textId="772CFEAE" w:rsidR="00595FDE" w:rsidRPr="005216DB" w:rsidRDefault="00595FDE">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169AA" w:rsidRPr="005216DB">
        <w:rPr>
          <w:color w:val="000000" w:themeColor="text1"/>
        </w:rPr>
        <w:t xml:space="preserve">Lynn Dumenil, “The New Woman and the Politics of the 1920s,” </w:t>
      </w:r>
      <w:r w:rsidR="002169AA" w:rsidRPr="005216DB">
        <w:rPr>
          <w:rStyle w:val="Emphasis"/>
          <w:rFonts w:eastAsiaTheme="majorEastAsia"/>
          <w:color w:val="000000" w:themeColor="text1"/>
        </w:rPr>
        <w:t>OAH Magazine of History</w:t>
      </w:r>
      <w:r w:rsidR="002169AA" w:rsidRPr="005216DB">
        <w:rPr>
          <w:color w:val="000000" w:themeColor="text1"/>
        </w:rPr>
        <w:t xml:space="preserve"> 21, no. 3 (2007): 22-</w:t>
      </w:r>
      <w:r w:rsidR="00985F29" w:rsidRPr="005216DB">
        <w:rPr>
          <w:color w:val="000000" w:themeColor="text1"/>
        </w:rPr>
        <w:t>24</w:t>
      </w:r>
      <w:r w:rsidR="002169AA" w:rsidRPr="005216DB">
        <w:rPr>
          <w:color w:val="000000" w:themeColor="text1"/>
        </w:rPr>
        <w:t>.</w:t>
      </w:r>
    </w:p>
  </w:footnote>
  <w:footnote w:id="15">
    <w:p w14:paraId="6C5D0B9C" w14:textId="715FAD66" w:rsidR="00985F29" w:rsidRPr="005216DB" w:rsidRDefault="00985F29">
      <w:pPr>
        <w:pStyle w:val="FootnoteText"/>
        <w:rPr>
          <w:color w:val="000000" w:themeColor="text1"/>
        </w:rPr>
      </w:pPr>
      <w:r w:rsidRPr="005216DB">
        <w:rPr>
          <w:rStyle w:val="FootnoteReference"/>
          <w:color w:val="000000" w:themeColor="text1"/>
        </w:rPr>
        <w:footnoteRef/>
      </w:r>
      <w:r w:rsidR="002169AA" w:rsidRPr="005216DB">
        <w:rPr>
          <w:color w:val="000000" w:themeColor="text1"/>
        </w:rPr>
        <w:t xml:space="preserve"> </w:t>
      </w:r>
      <w:proofErr w:type="spellStart"/>
      <w:r w:rsidR="002169AA" w:rsidRPr="005216DB">
        <w:rPr>
          <w:color w:val="000000" w:themeColor="text1"/>
        </w:rPr>
        <w:t>Dumenil</w:t>
      </w:r>
      <w:proofErr w:type="spellEnd"/>
      <w:r w:rsidR="002169AA" w:rsidRPr="005216DB">
        <w:rPr>
          <w:color w:val="000000" w:themeColor="text1"/>
        </w:rPr>
        <w:t xml:space="preserve">, “The New Woman and the Politics of the 1920s,” </w:t>
      </w:r>
      <w:r w:rsidRPr="005216DB">
        <w:rPr>
          <w:color w:val="000000" w:themeColor="text1"/>
        </w:rPr>
        <w:t>23</w:t>
      </w:r>
      <w:r w:rsidR="002169AA" w:rsidRPr="005216DB">
        <w:rPr>
          <w:color w:val="000000" w:themeColor="text1"/>
        </w:rPr>
        <w:t>.</w:t>
      </w:r>
    </w:p>
  </w:footnote>
  <w:footnote w:id="16">
    <w:p w14:paraId="23601CFC" w14:textId="0B58EF94"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w:t>
      </w:r>
      <w:r w:rsidR="005D700D" w:rsidRPr="005216DB">
        <w:rPr>
          <w:i/>
          <w:iCs/>
          <w:color w:val="000000" w:themeColor="text1"/>
        </w:rPr>
        <w:t>Rosie the Riveter Revisited: Women, the War, and Social Change</w:t>
      </w:r>
      <w:r w:rsidR="005D700D" w:rsidRPr="005216DB">
        <w:rPr>
          <w:color w:val="000000" w:themeColor="text1"/>
        </w:rPr>
        <w:t xml:space="preserve">, </w:t>
      </w:r>
      <w:r w:rsidRPr="005216DB">
        <w:rPr>
          <w:color w:val="000000" w:themeColor="text1"/>
        </w:rPr>
        <w:t xml:space="preserve">4. </w:t>
      </w:r>
    </w:p>
  </w:footnote>
  <w:footnote w:id="17">
    <w:p w14:paraId="3944BB00"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7.</w:t>
      </w:r>
    </w:p>
  </w:footnote>
  <w:footnote w:id="18">
    <w:p w14:paraId="1CC6C578"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8. </w:t>
      </w:r>
    </w:p>
  </w:footnote>
  <w:footnote w:id="19">
    <w:p w14:paraId="1EBAF376" w14:textId="7549A146" w:rsidR="004C3748" w:rsidRPr="005216DB" w:rsidRDefault="004C3748">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9.</w:t>
      </w:r>
    </w:p>
  </w:footnote>
  <w:footnote w:id="20">
    <w:p w14:paraId="1092579A" w14:textId="77777777" w:rsidR="0074766E" w:rsidRPr="005216DB" w:rsidRDefault="0074766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9. </w:t>
      </w:r>
    </w:p>
  </w:footnote>
  <w:footnote w:id="21">
    <w:p w14:paraId="068C0217" w14:textId="10E6F40D" w:rsidR="00B85BCD" w:rsidRPr="005216DB" w:rsidRDefault="00B85BCD"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Silvia Federici, “Social Reproduction Theory: History, Issues, and Present Challenges,” </w:t>
      </w:r>
      <w:r w:rsidRPr="005216DB">
        <w:rPr>
          <w:i/>
          <w:iCs/>
          <w:color w:val="000000" w:themeColor="text1"/>
        </w:rPr>
        <w:t>Radical Philosophy</w:t>
      </w:r>
      <w:r w:rsidRPr="005216DB">
        <w:rPr>
          <w:color w:val="000000" w:themeColor="text1"/>
        </w:rPr>
        <w:t>, no. 204 (Spring 2019): 55.</w:t>
      </w:r>
    </w:p>
  </w:footnote>
  <w:footnote w:id="22">
    <w:p w14:paraId="2F1D5B05" w14:textId="77777777" w:rsidR="00B85BCD" w:rsidRPr="005216DB" w:rsidRDefault="00B85BCD"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Tithi Bhattacharya and Lise Vogel, “Introduction: Mapping Social Reproduction Theory,” in </w:t>
      </w:r>
      <w:r w:rsidRPr="005216DB">
        <w:rPr>
          <w:rStyle w:val="Emphasis"/>
          <w:rFonts w:eastAsiaTheme="majorEastAsia"/>
          <w:color w:val="000000" w:themeColor="text1"/>
        </w:rPr>
        <w:t>Social Reproduction Theory: Remapping Class, Recentering Oppression</w:t>
      </w:r>
      <w:r w:rsidRPr="005216DB">
        <w:rPr>
          <w:color w:val="000000" w:themeColor="text1"/>
        </w:rPr>
        <w:t>, ed. Tithi Bhattacharya (London: Pluto Press, 2017), 2.</w:t>
      </w:r>
    </w:p>
  </w:footnote>
  <w:footnote w:id="23">
    <w:p w14:paraId="33E586E7" w14:textId="471D1699" w:rsidR="00D77131" w:rsidRPr="005216DB" w:rsidRDefault="00D77131"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CD5580" w:rsidRPr="005216DB">
        <w:rPr>
          <w:color w:val="000000" w:themeColor="text1"/>
        </w:rPr>
        <w:t xml:space="preserve">Bhattacharya and Vogel, “Introduction: Mapping Social Reproduction Theory,” 2. </w:t>
      </w:r>
    </w:p>
  </w:footnote>
  <w:footnote w:id="24">
    <w:p w14:paraId="68294619" w14:textId="1CA30A07" w:rsidR="00651D90" w:rsidRPr="005216DB" w:rsidRDefault="00651D90"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John Berger, </w:t>
      </w:r>
      <w:r w:rsidRPr="005216DB">
        <w:rPr>
          <w:i/>
          <w:iCs/>
          <w:color w:val="000000" w:themeColor="text1"/>
        </w:rPr>
        <w:t>Ways of Seeing</w:t>
      </w:r>
      <w:r w:rsidRPr="005216DB">
        <w:rPr>
          <w:color w:val="000000" w:themeColor="text1"/>
        </w:rPr>
        <w:t xml:space="preserve"> (Penguin Books, 2008), 11. </w:t>
      </w:r>
    </w:p>
  </w:footnote>
  <w:footnote w:id="25">
    <w:p w14:paraId="27D4DB1B" w14:textId="16F031EF" w:rsidR="009B36BE" w:rsidRPr="005216DB" w:rsidRDefault="009B36BE"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Berger, </w:t>
      </w:r>
      <w:r w:rsidRPr="005216DB">
        <w:rPr>
          <w:i/>
          <w:iCs/>
          <w:color w:val="000000" w:themeColor="text1"/>
        </w:rPr>
        <w:t>Ways of Seeing</w:t>
      </w:r>
      <w:r w:rsidRPr="005216DB">
        <w:rPr>
          <w:color w:val="000000" w:themeColor="text1"/>
        </w:rPr>
        <w:t xml:space="preserve"> (Penguin Books, 2008), 46.</w:t>
      </w:r>
    </w:p>
  </w:footnote>
  <w:footnote w:id="26">
    <w:p w14:paraId="0DDE3A62" w14:textId="7B6EE960" w:rsidR="00CD5580" w:rsidRPr="005216DB" w:rsidRDefault="00CD5580" w:rsidP="00065B83">
      <w:pPr>
        <w:pStyle w:val="NormalWeb"/>
        <w:spacing w:before="0" w:beforeAutospacing="0" w:after="0" w:afterAutospacing="0"/>
        <w:rPr>
          <w:color w:val="000000" w:themeColor="text1"/>
          <w:sz w:val="20"/>
          <w:szCs w:val="20"/>
        </w:rPr>
      </w:pPr>
      <w:r w:rsidRPr="005216DB">
        <w:rPr>
          <w:rStyle w:val="FootnoteReference"/>
          <w:color w:val="000000" w:themeColor="text1"/>
          <w:sz w:val="20"/>
          <w:szCs w:val="20"/>
        </w:rPr>
        <w:footnoteRef/>
      </w:r>
      <w:r w:rsidRPr="005216DB">
        <w:rPr>
          <w:color w:val="000000" w:themeColor="text1"/>
          <w:sz w:val="20"/>
          <w:szCs w:val="20"/>
        </w:rPr>
        <w:t xml:space="preserve"> Norman Rockwell, </w:t>
      </w:r>
      <w:r w:rsidRPr="005216DB">
        <w:rPr>
          <w:rStyle w:val="Emphasis"/>
          <w:rFonts w:eastAsiaTheme="majorEastAsia"/>
          <w:color w:val="000000" w:themeColor="text1"/>
          <w:sz w:val="20"/>
          <w:szCs w:val="20"/>
        </w:rPr>
        <w:t>Rosie the Riveter Post Cover</w:t>
      </w:r>
      <w:r w:rsidRPr="005216DB">
        <w:rPr>
          <w:color w:val="000000" w:themeColor="text1"/>
          <w:sz w:val="20"/>
          <w:szCs w:val="20"/>
        </w:rPr>
        <w:t>, May 29, 1943.</w:t>
      </w:r>
    </w:p>
  </w:footnote>
  <w:footnote w:id="27">
    <w:p w14:paraId="2C046FB1" w14:textId="39875FF5" w:rsidR="00EE6414" w:rsidRPr="005216DB" w:rsidRDefault="00EE6414"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Berger, 47. </w:t>
      </w:r>
    </w:p>
  </w:footnote>
  <w:footnote w:id="28">
    <w:p w14:paraId="003A7BA4" w14:textId="33231D36" w:rsidR="000F672F" w:rsidRPr="005216DB" w:rsidRDefault="000F672F"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Smith</w:t>
      </w:r>
      <w:r w:rsidR="005D700D" w:rsidRPr="005216DB">
        <w:rPr>
          <w:color w:val="000000" w:themeColor="text1"/>
        </w:rPr>
        <w:t>,</w:t>
      </w:r>
      <w:r w:rsidRPr="005216DB">
        <w:rPr>
          <w:color w:val="000000" w:themeColor="text1"/>
        </w:rPr>
        <w:t xml:space="preserve"> 188</w:t>
      </w:r>
      <w:r w:rsidR="005D700D" w:rsidRPr="005216DB">
        <w:rPr>
          <w:color w:val="000000" w:themeColor="text1"/>
        </w:rPr>
        <w:t>.</w:t>
      </w:r>
      <w:r w:rsidRPr="005216DB">
        <w:rPr>
          <w:color w:val="000000" w:themeColor="text1"/>
        </w:rPr>
        <w:t xml:space="preserve"> </w:t>
      </w:r>
    </w:p>
  </w:footnote>
  <w:footnote w:id="29">
    <w:p w14:paraId="500C33F4" w14:textId="02733A20" w:rsidR="006B123B" w:rsidRPr="005216DB" w:rsidRDefault="006B123B"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Darlene C. Mahaney, “Propaganda Posters,” </w:t>
      </w:r>
      <w:r w:rsidRPr="005216DB">
        <w:rPr>
          <w:i/>
          <w:iCs/>
          <w:color w:val="000000" w:themeColor="text1"/>
        </w:rPr>
        <w:t>OAH Magazine of History</w:t>
      </w:r>
      <w:r w:rsidRPr="005216DB">
        <w:rPr>
          <w:color w:val="000000" w:themeColor="text1"/>
        </w:rPr>
        <w:t xml:space="preserve"> 16, no. 3 (2002): 41. </w:t>
      </w:r>
    </w:p>
  </w:footnote>
  <w:footnote w:id="30">
    <w:p w14:paraId="327BF85D" w14:textId="70A68E88" w:rsidR="003815CC" w:rsidRPr="005216DB" w:rsidRDefault="003815CC" w:rsidP="00065B83">
      <w:pPr>
        <w:rPr>
          <w:color w:val="000000" w:themeColor="text1"/>
          <w:sz w:val="20"/>
          <w:szCs w:val="20"/>
        </w:rPr>
      </w:pPr>
      <w:r w:rsidRPr="005216DB">
        <w:rPr>
          <w:rStyle w:val="FootnoteReference"/>
          <w:color w:val="000000" w:themeColor="text1"/>
          <w:sz w:val="20"/>
          <w:szCs w:val="20"/>
        </w:rPr>
        <w:footnoteRef/>
      </w:r>
      <w:r w:rsidRPr="005216DB">
        <w:rPr>
          <w:color w:val="000000" w:themeColor="text1"/>
          <w:sz w:val="20"/>
          <w:szCs w:val="20"/>
        </w:rPr>
        <w:t xml:space="preserve"> </w:t>
      </w:r>
      <w:r w:rsidR="00CD5580" w:rsidRPr="005216DB">
        <w:rPr>
          <w:color w:val="000000" w:themeColor="text1"/>
          <w:sz w:val="20"/>
          <w:szCs w:val="20"/>
        </w:rPr>
        <w:t xml:space="preserve">P. G. Harris, </w:t>
      </w:r>
      <w:r w:rsidR="00CD5580" w:rsidRPr="005216DB">
        <w:rPr>
          <w:rStyle w:val="Emphasis"/>
          <w:rFonts w:eastAsiaTheme="majorEastAsia"/>
          <w:color w:val="000000" w:themeColor="text1"/>
          <w:sz w:val="20"/>
          <w:szCs w:val="20"/>
        </w:rPr>
        <w:t>“Do the Job He Left Behind: Apply U.S. Employment Service,”</w:t>
      </w:r>
      <w:r w:rsidR="00CD5580" w:rsidRPr="005216DB">
        <w:rPr>
          <w:color w:val="000000" w:themeColor="text1"/>
          <w:sz w:val="20"/>
          <w:szCs w:val="20"/>
        </w:rPr>
        <w:t xml:space="preserve"> 1943, University of Minnesota Libraries, Upper Midwest Literary Archives, accessed November 6, 2025.</w:t>
      </w:r>
    </w:p>
  </w:footnote>
  <w:footnote w:id="31">
    <w:p w14:paraId="422A0F5F" w14:textId="594CACE7" w:rsidR="00B616C4" w:rsidRPr="005216DB" w:rsidRDefault="00B616C4" w:rsidP="00065B83">
      <w:pPr>
        <w:rPr>
          <w:color w:val="000000" w:themeColor="text1"/>
          <w:sz w:val="20"/>
          <w:szCs w:val="20"/>
        </w:rPr>
      </w:pPr>
      <w:r w:rsidRPr="005216DB">
        <w:rPr>
          <w:rStyle w:val="FootnoteReference"/>
          <w:color w:val="000000" w:themeColor="text1"/>
          <w:sz w:val="20"/>
          <w:szCs w:val="20"/>
        </w:rPr>
        <w:footnoteRef/>
      </w:r>
      <w:r w:rsidRPr="005216DB">
        <w:rPr>
          <w:color w:val="000000" w:themeColor="text1"/>
          <w:sz w:val="20"/>
          <w:szCs w:val="20"/>
        </w:rPr>
        <w:t xml:space="preserve"> </w:t>
      </w:r>
      <w:r w:rsidR="00CD5580" w:rsidRPr="005216DB">
        <w:rPr>
          <w:color w:val="000000" w:themeColor="text1"/>
          <w:sz w:val="20"/>
          <w:szCs w:val="20"/>
        </w:rPr>
        <w:t xml:space="preserve">Lawrence Wilbur, </w:t>
      </w:r>
      <w:r w:rsidR="00CD5580" w:rsidRPr="005216DB">
        <w:rPr>
          <w:rStyle w:val="Emphasis"/>
          <w:rFonts w:eastAsiaTheme="majorEastAsia"/>
          <w:color w:val="000000" w:themeColor="text1"/>
          <w:sz w:val="20"/>
          <w:szCs w:val="20"/>
        </w:rPr>
        <w:t>Longing Won’t Bring Him Back Sooner… Get a War Job! See Your U.S. Employment Service</w:t>
      </w:r>
      <w:r w:rsidR="00CD5580" w:rsidRPr="005216DB">
        <w:rPr>
          <w:color w:val="000000" w:themeColor="text1"/>
          <w:sz w:val="20"/>
          <w:szCs w:val="20"/>
        </w:rPr>
        <w:t xml:space="preserve"> (U.S. Government Printing Office for the War Manpower Commission, 1944), poster, New-York Historical Society Library.</w:t>
      </w:r>
    </w:p>
  </w:footnote>
  <w:footnote w:id="32">
    <w:p w14:paraId="0E9BA83A" w14:textId="2259F07D" w:rsidR="00DF6375" w:rsidRPr="005216DB" w:rsidRDefault="00DF6375">
      <w:pPr>
        <w:pStyle w:val="FootnoteText"/>
        <w:rPr>
          <w:color w:val="000000" w:themeColor="text1"/>
        </w:rPr>
      </w:pPr>
      <w:r w:rsidRPr="005216DB">
        <w:rPr>
          <w:rStyle w:val="FootnoteReference"/>
          <w:color w:val="000000" w:themeColor="text1"/>
        </w:rPr>
        <w:footnoteRef/>
      </w:r>
      <w:r w:rsidRPr="005216DB">
        <w:rPr>
          <w:color w:val="000000" w:themeColor="text1"/>
        </w:rPr>
        <w:t xml:space="preserve"> Wilbur, </w:t>
      </w:r>
      <w:r w:rsidRPr="005216DB">
        <w:rPr>
          <w:rStyle w:val="Emphasis"/>
          <w:rFonts w:eastAsiaTheme="majorEastAsia"/>
          <w:color w:val="000000" w:themeColor="text1"/>
        </w:rPr>
        <w:t xml:space="preserve">Longing Won’t Bring Him Back Sooner… Get a War Job! See Your U.S. Employment Service. </w:t>
      </w:r>
    </w:p>
  </w:footnote>
  <w:footnote w:id="33">
    <w:p w14:paraId="6D7AEC06" w14:textId="56478842" w:rsidR="003C335E" w:rsidRPr="005216DB" w:rsidRDefault="003C335E">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DE5C79" w:rsidRPr="005216DB">
        <w:rPr>
          <w:color w:val="000000" w:themeColor="text1"/>
        </w:rPr>
        <w:t xml:space="preserve">National WWI Museum and Memorial, “Service Flag,” TheWorldWar.org, accessed December 8, 2025. </w:t>
      </w:r>
    </w:p>
  </w:footnote>
  <w:footnote w:id="34">
    <w:p w14:paraId="22D40EE6" w14:textId="4E162FC4" w:rsidR="000B5B61" w:rsidRPr="005216DB" w:rsidRDefault="000B5B61" w:rsidP="00E90EC5">
      <w:pPr>
        <w:rPr>
          <w:color w:val="000000" w:themeColor="text1"/>
          <w:sz w:val="20"/>
          <w:szCs w:val="20"/>
        </w:rPr>
      </w:pPr>
      <w:r w:rsidRPr="005216DB">
        <w:rPr>
          <w:rStyle w:val="FootnoteReference"/>
          <w:color w:val="000000" w:themeColor="text1"/>
          <w:sz w:val="20"/>
          <w:szCs w:val="20"/>
        </w:rPr>
        <w:footnoteRef/>
      </w:r>
      <w:r w:rsidRPr="005216DB">
        <w:rPr>
          <w:color w:val="000000" w:themeColor="text1"/>
          <w:sz w:val="20"/>
          <w:szCs w:val="20"/>
        </w:rPr>
        <w:t xml:space="preserve"> </w:t>
      </w:r>
      <w:r w:rsidR="00CD5580" w:rsidRPr="005216DB">
        <w:rPr>
          <w:color w:val="000000" w:themeColor="text1"/>
          <w:sz w:val="20"/>
          <w:szCs w:val="20"/>
        </w:rPr>
        <w:t xml:space="preserve">John Newton Howitt, </w:t>
      </w:r>
      <w:r w:rsidR="00CD5580" w:rsidRPr="005216DB">
        <w:rPr>
          <w:rStyle w:val="Emphasis"/>
          <w:rFonts w:eastAsiaTheme="majorEastAsia"/>
          <w:color w:val="000000" w:themeColor="text1"/>
          <w:sz w:val="20"/>
          <w:szCs w:val="20"/>
        </w:rPr>
        <w:t>I’m Proud … My Husband Wants Me to Do My Part: See Your U.S. Employment Service</w:t>
      </w:r>
      <w:r w:rsidR="00CD5580" w:rsidRPr="005216DB">
        <w:rPr>
          <w:color w:val="000000" w:themeColor="text1"/>
          <w:sz w:val="20"/>
          <w:szCs w:val="20"/>
        </w:rPr>
        <w:t xml:space="preserve"> (U.S. Government Printing Office for the United States War Manpower Commission and the United States Office of War Information, 1944), photograph, Library of Congress. </w:t>
      </w:r>
    </w:p>
  </w:footnote>
  <w:footnote w:id="35">
    <w:p w14:paraId="20E9396F" w14:textId="5727105E" w:rsidR="007E5C22" w:rsidRPr="005216DB" w:rsidRDefault="007E5C22" w:rsidP="00065B83">
      <w:pPr>
        <w:rPr>
          <w:color w:val="000000" w:themeColor="text1"/>
          <w:sz w:val="20"/>
          <w:szCs w:val="20"/>
        </w:rPr>
      </w:pPr>
      <w:r w:rsidRPr="005216DB">
        <w:rPr>
          <w:rStyle w:val="FootnoteReference"/>
          <w:color w:val="000000" w:themeColor="text1"/>
          <w:sz w:val="20"/>
          <w:szCs w:val="20"/>
        </w:rPr>
        <w:footnoteRef/>
      </w:r>
      <w:r w:rsidR="00CD5580" w:rsidRPr="005216DB">
        <w:rPr>
          <w:color w:val="000000" w:themeColor="text1"/>
          <w:sz w:val="20"/>
          <w:szCs w:val="20"/>
        </w:rPr>
        <w:t xml:space="preserve"> </w:t>
      </w:r>
      <w:r w:rsidR="00CD5580" w:rsidRPr="005216DB">
        <w:rPr>
          <w:rStyle w:val="Emphasis"/>
          <w:rFonts w:eastAsiaTheme="majorEastAsia"/>
          <w:color w:val="000000" w:themeColor="text1"/>
          <w:sz w:val="20"/>
          <w:szCs w:val="20"/>
        </w:rPr>
        <w:t>“I’ve Found the Job Where I Fit Best!” Find Your War Job in Industry, Agriculture, Business</w:t>
      </w:r>
      <w:r w:rsidR="00CD5580" w:rsidRPr="005216DB">
        <w:rPr>
          <w:color w:val="000000" w:themeColor="text1"/>
          <w:sz w:val="20"/>
          <w:szCs w:val="20"/>
        </w:rPr>
        <w:t xml:space="preserve"> (Office of War Information, 1943), photograph, Library of Congress.</w:t>
      </w:r>
    </w:p>
  </w:footnote>
  <w:footnote w:id="36">
    <w:p w14:paraId="77993EEF" w14:textId="71CB7CB9" w:rsidR="00E90EC5" w:rsidRPr="005216DB" w:rsidRDefault="00E90EC5">
      <w:pPr>
        <w:pStyle w:val="FootnoteText"/>
        <w:rPr>
          <w:color w:val="000000" w:themeColor="text1"/>
        </w:rPr>
      </w:pPr>
      <w:r w:rsidRPr="005216DB">
        <w:rPr>
          <w:rStyle w:val="FootnoteReference"/>
          <w:color w:val="000000" w:themeColor="text1"/>
        </w:rPr>
        <w:footnoteRef/>
      </w:r>
      <w:r w:rsidRPr="005216DB">
        <w:rPr>
          <w:rStyle w:val="Emphasis"/>
          <w:rFonts w:eastAsiaTheme="majorEastAsia"/>
          <w:color w:val="000000" w:themeColor="text1"/>
        </w:rPr>
        <w:t xml:space="preserve"> “I’ve Found the Job Where I Fit Best!” Find Your War Job in Industry, Agriculture, Business</w:t>
      </w:r>
      <w:r w:rsidR="005D700D" w:rsidRPr="005216DB">
        <w:rPr>
          <w:rStyle w:val="Emphasis"/>
          <w:rFonts w:eastAsiaTheme="majorEastAsia"/>
          <w:color w:val="000000" w:themeColor="text1"/>
        </w:rPr>
        <w:t>.</w:t>
      </w:r>
    </w:p>
  </w:footnote>
  <w:footnote w:id="37">
    <w:p w14:paraId="56663D47" w14:textId="192827AC" w:rsidR="007E5C22" w:rsidRPr="005216DB" w:rsidRDefault="007E5C22"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CD5580" w:rsidRPr="005216DB">
        <w:rPr>
          <w:rStyle w:val="Emphasis"/>
          <w:rFonts w:eastAsiaTheme="majorEastAsia"/>
          <w:color w:val="000000" w:themeColor="text1"/>
        </w:rPr>
        <w:t>“I’ve Found the Job Where I Fit Best!” Find Your War Job in Industry, Agriculture, Business</w:t>
      </w:r>
      <w:r w:rsidR="00CD5580" w:rsidRPr="005216DB">
        <w:rPr>
          <w:color w:val="000000" w:themeColor="text1"/>
        </w:rPr>
        <w:t xml:space="preserve">. </w:t>
      </w:r>
    </w:p>
  </w:footnote>
  <w:footnote w:id="38">
    <w:p w14:paraId="52E9ABAD" w14:textId="25D6A6B5" w:rsidR="00947BB1" w:rsidRPr="005216DB" w:rsidRDefault="00947BB1">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10-11.</w:t>
      </w:r>
    </w:p>
  </w:footnote>
  <w:footnote w:id="39">
    <w:p w14:paraId="0F543A44" w14:textId="569DB480" w:rsidR="00065B83" w:rsidRPr="005216DB" w:rsidRDefault="00065B83" w:rsidP="00065B83">
      <w:pPr>
        <w:pStyle w:val="FootnoteText"/>
        <w:rPr>
          <w:color w:val="000000" w:themeColor="text1"/>
        </w:rPr>
      </w:pPr>
      <w:r w:rsidRPr="005216DB">
        <w:rPr>
          <w:rStyle w:val="FootnoteReference"/>
          <w:color w:val="000000" w:themeColor="text1"/>
        </w:rPr>
        <w:footnoteRef/>
      </w:r>
      <w:r w:rsidRPr="005216DB">
        <w:rPr>
          <w:color w:val="000000" w:themeColor="text1"/>
        </w:rPr>
        <w:t xml:space="preserve"> Vernon Grant, </w:t>
      </w:r>
      <w:r w:rsidRPr="005216DB">
        <w:rPr>
          <w:rStyle w:val="Emphasis"/>
          <w:rFonts w:eastAsiaTheme="majorEastAsia"/>
          <w:color w:val="000000" w:themeColor="text1"/>
        </w:rPr>
        <w:t>Women: There’s Work to Be Done and a War to Be Won … Now! See Your U.S. Employment Service</w:t>
      </w:r>
      <w:r w:rsidRPr="005216DB">
        <w:rPr>
          <w:color w:val="000000" w:themeColor="text1"/>
        </w:rPr>
        <w:t xml:space="preserve"> (U.S. Government Printing Office for the United States War Manpower Commission and Office of War Information, 1944), photograph, Library of Congress. </w:t>
      </w:r>
    </w:p>
  </w:footnote>
  <w:footnote w:id="40">
    <w:p w14:paraId="6C6DCF5C" w14:textId="718F3A8E" w:rsidR="009F4F76" w:rsidRPr="005216DB" w:rsidRDefault="009F4F76">
      <w:pPr>
        <w:pStyle w:val="FootnoteText"/>
        <w:rPr>
          <w:color w:val="000000" w:themeColor="text1"/>
        </w:rPr>
      </w:pPr>
      <w:r w:rsidRPr="005216DB">
        <w:rPr>
          <w:rStyle w:val="FootnoteReference"/>
          <w:color w:val="000000" w:themeColor="text1"/>
        </w:rPr>
        <w:footnoteRef/>
      </w:r>
      <w:r w:rsidRPr="005216DB">
        <w:rPr>
          <w:color w:val="000000" w:themeColor="text1"/>
        </w:rPr>
        <w:t xml:space="preserve"> Grant, </w:t>
      </w:r>
      <w:r w:rsidRPr="005216DB">
        <w:rPr>
          <w:rStyle w:val="Emphasis"/>
          <w:rFonts w:eastAsiaTheme="majorEastAsia"/>
          <w:color w:val="000000" w:themeColor="text1"/>
        </w:rPr>
        <w:t>Women: There’s Work to Be Done and a War to Be Won … Now! See Your U.S. Employment Service.</w:t>
      </w:r>
    </w:p>
  </w:footnote>
  <w:footnote w:id="41">
    <w:p w14:paraId="1ABAB66B" w14:textId="2EFB1FFB" w:rsidR="000C4F0C" w:rsidRPr="005216DB" w:rsidRDefault="000C4F0C">
      <w:pPr>
        <w:pStyle w:val="FootnoteText"/>
        <w:rPr>
          <w:color w:val="000000" w:themeColor="text1"/>
        </w:rPr>
      </w:pPr>
      <w:r w:rsidRPr="005216DB">
        <w:rPr>
          <w:rStyle w:val="FootnoteReference"/>
          <w:color w:val="000000" w:themeColor="text1"/>
        </w:rPr>
        <w:footnoteRef/>
      </w:r>
      <w:r w:rsidRPr="005216DB">
        <w:rPr>
          <w:color w:val="000000" w:themeColor="text1"/>
        </w:rPr>
        <w:t xml:space="preserve"> Grant, </w:t>
      </w:r>
      <w:r w:rsidRPr="005216DB">
        <w:rPr>
          <w:rStyle w:val="Emphasis"/>
          <w:rFonts w:eastAsiaTheme="majorEastAsia"/>
          <w:color w:val="000000" w:themeColor="text1"/>
        </w:rPr>
        <w:t>Women: There’s Work to Be Done and a War to Be Won … Now! See Your U.S. Employment Service.</w:t>
      </w:r>
    </w:p>
  </w:footnote>
  <w:footnote w:id="42">
    <w:p w14:paraId="2270EB91" w14:textId="6BFB587C" w:rsidR="009F5FDF" w:rsidRPr="005216DB" w:rsidRDefault="009F5FDF" w:rsidP="009F5FDF">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EA6655" w:rsidRPr="005216DB">
        <w:rPr>
          <w:color w:val="000000" w:themeColor="text1"/>
        </w:rPr>
        <w:t xml:space="preserve">Fred Little Packer, </w:t>
      </w:r>
      <w:r w:rsidR="00EA6655" w:rsidRPr="005216DB">
        <w:rPr>
          <w:i/>
          <w:iCs/>
          <w:color w:val="000000" w:themeColor="text1"/>
        </w:rPr>
        <w:t>We’re Depending on You! Produce to Win</w:t>
      </w:r>
      <w:r w:rsidR="00EA6655" w:rsidRPr="005216DB">
        <w:rPr>
          <w:color w:val="000000" w:themeColor="text1"/>
        </w:rPr>
        <w:t xml:space="preserve"> (Office for Emergency Management and War Production Board, ca. 1942), poster, Library of Congress. This image is currently on display at the Library of Congress so digital access can be done through Reddit under “Propaganda Posters.” </w:t>
      </w:r>
    </w:p>
  </w:footnote>
  <w:footnote w:id="43">
    <w:p w14:paraId="7270E40D" w14:textId="0A2AB116" w:rsidR="00E0093C" w:rsidRPr="005216DB" w:rsidRDefault="00E0093C">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EA6655" w:rsidRPr="005216DB">
        <w:rPr>
          <w:color w:val="000000" w:themeColor="text1"/>
        </w:rPr>
        <w:t xml:space="preserve">Packer, </w:t>
      </w:r>
      <w:r w:rsidR="00EA6655" w:rsidRPr="005216DB">
        <w:rPr>
          <w:i/>
          <w:iCs/>
          <w:color w:val="000000" w:themeColor="text1"/>
        </w:rPr>
        <w:t xml:space="preserve">We’re Depending on You! Produce to Win. </w:t>
      </w:r>
    </w:p>
  </w:footnote>
  <w:footnote w:id="44">
    <w:p w14:paraId="43BAA3BD" w14:textId="62EAF475" w:rsidR="0037447E" w:rsidRPr="005216DB" w:rsidRDefault="0037447E">
      <w:pPr>
        <w:pStyle w:val="FootnoteText"/>
        <w:rPr>
          <w:color w:val="000000" w:themeColor="text1"/>
        </w:rPr>
      </w:pPr>
      <w:r w:rsidRPr="005216DB">
        <w:rPr>
          <w:rStyle w:val="FootnoteReference"/>
          <w:color w:val="000000" w:themeColor="text1"/>
        </w:rPr>
        <w:footnoteRef/>
      </w:r>
      <w:r w:rsidRPr="005216DB">
        <w:rPr>
          <w:color w:val="000000" w:themeColor="text1"/>
        </w:rPr>
        <w:t xml:space="preserve"> Claudia Goldin and Claudia Olivetti, “Shocking Labor Supply: A Reassessment of the Role of World War II on Women’s Labor Supply,” 257. </w:t>
      </w:r>
    </w:p>
  </w:footnote>
  <w:footnote w:id="45">
    <w:p w14:paraId="4F83504C" w14:textId="7089801B" w:rsidR="00D80A32" w:rsidRPr="005216DB" w:rsidRDefault="00D80A32">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 </w:t>
      </w:r>
    </w:p>
  </w:footnote>
  <w:footnote w:id="46">
    <w:p w14:paraId="57A1A181" w14:textId="202FA165" w:rsidR="00B06191" w:rsidRPr="005216DB" w:rsidRDefault="00B06191">
      <w:pPr>
        <w:pStyle w:val="FootnoteText"/>
        <w:rPr>
          <w:color w:val="000000" w:themeColor="text1"/>
        </w:rPr>
      </w:pPr>
      <w:r w:rsidRPr="005216DB">
        <w:rPr>
          <w:rStyle w:val="FootnoteReference"/>
          <w:color w:val="000000" w:themeColor="text1"/>
        </w:rPr>
        <w:footnoteRef/>
      </w:r>
      <w:r w:rsidRPr="005216DB">
        <w:rPr>
          <w:color w:val="000000" w:themeColor="text1"/>
        </w:rPr>
        <w:t xml:space="preserve"> Gluck, 13. </w:t>
      </w:r>
    </w:p>
  </w:footnote>
  <w:footnote w:id="47">
    <w:p w14:paraId="7CA20096" w14:textId="0A75DAC8" w:rsidR="009923C9" w:rsidRPr="005216DB" w:rsidRDefault="009923C9" w:rsidP="00255AE3">
      <w:pPr>
        <w:spacing w:line="301" w:lineRule="auto"/>
        <w:rPr>
          <w:color w:val="000000" w:themeColor="text1"/>
          <w:sz w:val="20"/>
          <w:szCs w:val="20"/>
        </w:rPr>
      </w:pPr>
      <w:r w:rsidRPr="005216DB">
        <w:rPr>
          <w:rStyle w:val="FootnoteReference"/>
          <w:color w:val="000000" w:themeColor="text1"/>
          <w:sz w:val="20"/>
          <w:szCs w:val="20"/>
        </w:rPr>
        <w:footnoteRef/>
      </w:r>
      <w:r w:rsidRPr="005216DB">
        <w:rPr>
          <w:color w:val="000000" w:themeColor="text1"/>
          <w:sz w:val="20"/>
          <w:szCs w:val="20"/>
        </w:rPr>
        <w:t xml:space="preserve"> </w:t>
      </w:r>
      <w:r w:rsidR="00255AE3" w:rsidRPr="005216DB">
        <w:rPr>
          <w:color w:val="000000" w:themeColor="text1"/>
          <w:sz w:val="20"/>
          <w:szCs w:val="20"/>
        </w:rPr>
        <w:t xml:space="preserve">Harold L. Ickes, “Watch Out for the Women,” </w:t>
      </w:r>
      <w:r w:rsidR="00255AE3" w:rsidRPr="005216DB">
        <w:rPr>
          <w:rStyle w:val="Emphasis"/>
          <w:rFonts w:eastAsiaTheme="majorEastAsia"/>
          <w:color w:val="000000" w:themeColor="text1"/>
          <w:sz w:val="20"/>
          <w:szCs w:val="20"/>
        </w:rPr>
        <w:t>Saturday Evening Post</w:t>
      </w:r>
      <w:r w:rsidR="00255AE3" w:rsidRPr="005216DB">
        <w:rPr>
          <w:color w:val="000000" w:themeColor="text1"/>
          <w:sz w:val="20"/>
          <w:szCs w:val="20"/>
        </w:rPr>
        <w:t xml:space="preserve"> 215, no. 34 (February 20, 1943): 19.</w:t>
      </w:r>
    </w:p>
  </w:footnote>
  <w:footnote w:id="48">
    <w:p w14:paraId="294A1FA5" w14:textId="2569E1E2" w:rsidR="00465EB7" w:rsidRPr="005216DB" w:rsidRDefault="00465EB7">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Ickes, “Watch Out for the Women,” </w:t>
      </w:r>
      <w:r w:rsidR="00005CEF" w:rsidRPr="005216DB">
        <w:rPr>
          <w:color w:val="000000" w:themeColor="text1"/>
        </w:rPr>
        <w:t>79.</w:t>
      </w:r>
    </w:p>
  </w:footnote>
  <w:footnote w:id="49">
    <w:p w14:paraId="781C9800" w14:textId="6CB586E5" w:rsidR="00005CEF" w:rsidRPr="005216DB" w:rsidRDefault="00005CEF">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“Mr. Rosie,” </w:t>
      </w:r>
      <w:r w:rsidR="00255AE3" w:rsidRPr="005216DB">
        <w:rPr>
          <w:rStyle w:val="Emphasis"/>
          <w:rFonts w:eastAsiaTheme="majorEastAsia"/>
          <w:color w:val="000000" w:themeColor="text1"/>
        </w:rPr>
        <w:t>Saturday Evening Post</w:t>
      </w:r>
      <w:r w:rsidR="00255AE3" w:rsidRPr="005216DB">
        <w:rPr>
          <w:color w:val="000000" w:themeColor="text1"/>
        </w:rPr>
        <w:t xml:space="preserve"> 216, no. 7 (August 14, 1943): 4.</w:t>
      </w:r>
    </w:p>
  </w:footnote>
  <w:footnote w:id="50">
    <w:p w14:paraId="3CCF05F8" w14:textId="45356135" w:rsidR="00442805" w:rsidRPr="005216DB" w:rsidRDefault="00442805">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w:t>
      </w:r>
      <w:r w:rsidRPr="005216DB">
        <w:rPr>
          <w:color w:val="000000" w:themeColor="text1"/>
        </w:rPr>
        <w:t>Mr. Rosie</w:t>
      </w:r>
      <w:r w:rsidR="00255AE3" w:rsidRPr="005216DB">
        <w:rPr>
          <w:color w:val="000000" w:themeColor="text1"/>
        </w:rPr>
        <w:t xml:space="preserve">,” 4. </w:t>
      </w:r>
    </w:p>
  </w:footnote>
  <w:footnote w:id="51">
    <w:p w14:paraId="5999BFD9" w14:textId="65A612A9" w:rsidR="00B0057C" w:rsidRPr="005216DB" w:rsidRDefault="00B0057C">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w:t>
      </w:r>
      <w:r w:rsidRPr="005216DB">
        <w:rPr>
          <w:color w:val="000000" w:themeColor="text1"/>
        </w:rPr>
        <w:t>Mr. Rosie</w:t>
      </w:r>
      <w:r w:rsidR="00255AE3" w:rsidRPr="005216DB">
        <w:rPr>
          <w:color w:val="000000" w:themeColor="text1"/>
        </w:rPr>
        <w:t>,” 4.</w:t>
      </w:r>
    </w:p>
  </w:footnote>
  <w:footnote w:id="52">
    <w:p w14:paraId="4D7BD80F" w14:textId="5B2169D6" w:rsidR="00842829" w:rsidRPr="005216DB" w:rsidRDefault="00842829">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J. C. Furnas, “Are Women Doing Their Share in the War?” </w:t>
      </w:r>
      <w:r w:rsidR="00255AE3" w:rsidRPr="005216DB">
        <w:rPr>
          <w:rStyle w:val="Emphasis"/>
          <w:rFonts w:eastAsiaTheme="majorEastAsia"/>
          <w:color w:val="000000" w:themeColor="text1"/>
        </w:rPr>
        <w:t>Saturday Evening Post</w:t>
      </w:r>
      <w:r w:rsidR="00255AE3" w:rsidRPr="005216DB">
        <w:rPr>
          <w:color w:val="000000" w:themeColor="text1"/>
        </w:rPr>
        <w:t xml:space="preserve"> 216, no. 44 (April 29, 1944): </w:t>
      </w:r>
      <w:r w:rsidRPr="005216DB">
        <w:rPr>
          <w:color w:val="000000" w:themeColor="text1"/>
        </w:rPr>
        <w:t>12-13</w:t>
      </w:r>
      <w:r w:rsidR="00255AE3" w:rsidRPr="005216DB">
        <w:rPr>
          <w:color w:val="000000" w:themeColor="text1"/>
        </w:rPr>
        <w:t>.</w:t>
      </w:r>
    </w:p>
  </w:footnote>
  <w:footnote w:id="53">
    <w:p w14:paraId="0400C70F" w14:textId="37942196" w:rsidR="00A410EC" w:rsidRPr="005216DB" w:rsidRDefault="00A410EC">
      <w:pPr>
        <w:pStyle w:val="FootnoteText"/>
        <w:rPr>
          <w:color w:val="000000" w:themeColor="text1"/>
        </w:rPr>
      </w:pPr>
      <w:r w:rsidRPr="005216DB">
        <w:rPr>
          <w:rStyle w:val="FootnoteReference"/>
          <w:color w:val="000000" w:themeColor="text1"/>
        </w:rPr>
        <w:footnoteRef/>
      </w:r>
      <w:r w:rsidR="00255AE3" w:rsidRPr="005216DB">
        <w:rPr>
          <w:color w:val="000000" w:themeColor="text1"/>
        </w:rPr>
        <w:t xml:space="preserve">Furnas, “Are Women Doing Their Share in the War?,” 13. </w:t>
      </w:r>
    </w:p>
  </w:footnote>
  <w:footnote w:id="54">
    <w:p w14:paraId="693886F0" w14:textId="7CC2E03C" w:rsidR="004104F7" w:rsidRPr="005216DB" w:rsidRDefault="004104F7">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Dorothy Thompson, “The Stake of Women in Full Postwar Employment,” </w:t>
      </w:r>
      <w:r w:rsidR="00255AE3" w:rsidRPr="005216DB">
        <w:rPr>
          <w:rStyle w:val="Emphasis"/>
          <w:rFonts w:eastAsiaTheme="majorEastAsia"/>
          <w:color w:val="000000" w:themeColor="text1"/>
        </w:rPr>
        <w:t>Ladies’ Home Journal</w:t>
      </w:r>
      <w:r w:rsidR="00255AE3" w:rsidRPr="005216DB">
        <w:rPr>
          <w:color w:val="000000" w:themeColor="text1"/>
        </w:rPr>
        <w:t xml:space="preserve">, (April 1944): 6. </w:t>
      </w:r>
    </w:p>
  </w:footnote>
  <w:footnote w:id="55">
    <w:p w14:paraId="5E84C803" w14:textId="6517B8F4" w:rsidR="00FA4DA2" w:rsidRPr="005216DB" w:rsidRDefault="00FA4DA2">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Thompson, “The Stake of Women in Full Postwar Employment,” </w:t>
      </w:r>
      <w:r w:rsidRPr="005216DB">
        <w:rPr>
          <w:color w:val="000000" w:themeColor="text1"/>
        </w:rPr>
        <w:t xml:space="preserve">6. </w:t>
      </w:r>
    </w:p>
  </w:footnote>
  <w:footnote w:id="56">
    <w:p w14:paraId="13DCB2AA" w14:textId="16F3DCF4" w:rsidR="00187CA4" w:rsidRPr="005216DB" w:rsidRDefault="00187CA4">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w:t>
      </w:r>
    </w:p>
  </w:footnote>
  <w:footnote w:id="57">
    <w:p w14:paraId="3CB93AE3" w14:textId="6AAD80FD" w:rsidR="00187CA4" w:rsidRPr="005216DB" w:rsidRDefault="00187CA4">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w:t>
      </w:r>
    </w:p>
  </w:footnote>
  <w:footnote w:id="58">
    <w:p w14:paraId="07DD4E32" w14:textId="51DB9054" w:rsidR="00187CA4" w:rsidRPr="005216DB" w:rsidRDefault="00187CA4">
      <w:pPr>
        <w:pStyle w:val="FootnoteText"/>
        <w:rPr>
          <w:color w:val="000000" w:themeColor="text1"/>
        </w:rPr>
      </w:pPr>
      <w:r w:rsidRPr="005216DB">
        <w:rPr>
          <w:rStyle w:val="FootnoteReference"/>
          <w:color w:val="000000" w:themeColor="text1"/>
        </w:rPr>
        <w:footnoteRef/>
      </w:r>
      <w:r w:rsidRPr="005216DB">
        <w:rPr>
          <w:color w:val="000000" w:themeColor="text1"/>
        </w:rPr>
        <w:t xml:space="preserve"> Schweitzer, 90.</w:t>
      </w:r>
    </w:p>
  </w:footnote>
  <w:footnote w:id="59">
    <w:p w14:paraId="44A4F833" w14:textId="62EE253E" w:rsidR="00604E41" w:rsidRPr="005216DB" w:rsidRDefault="00604E41">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American Historical Association, </w:t>
      </w:r>
      <w:r w:rsidR="00255AE3" w:rsidRPr="005216DB">
        <w:rPr>
          <w:rStyle w:val="Emphasis"/>
          <w:rFonts w:eastAsiaTheme="majorEastAsia"/>
          <w:color w:val="000000" w:themeColor="text1"/>
        </w:rPr>
        <w:t>Do You Want Your Wife to Work After the War?</w:t>
      </w:r>
      <w:r w:rsidR="00255AE3" w:rsidRPr="005216DB">
        <w:rPr>
          <w:color w:val="000000" w:themeColor="text1"/>
        </w:rPr>
        <w:t xml:space="preserve"> G.I. Roundtable Series, EM31 (ca. 1944), Illinois State Library, Illinois Digital Archives, accessed August 19, 2025: </w:t>
      </w:r>
      <w:r w:rsidRPr="005216DB">
        <w:rPr>
          <w:color w:val="000000" w:themeColor="text1"/>
        </w:rPr>
        <w:t>2</w:t>
      </w:r>
      <w:r w:rsidR="00E462D2" w:rsidRPr="005216DB">
        <w:rPr>
          <w:color w:val="000000" w:themeColor="text1"/>
        </w:rPr>
        <w:t xml:space="preserve"> and </w:t>
      </w:r>
      <w:r w:rsidRPr="005216DB">
        <w:rPr>
          <w:color w:val="000000" w:themeColor="text1"/>
        </w:rPr>
        <w:t xml:space="preserve">37. </w:t>
      </w:r>
    </w:p>
  </w:footnote>
  <w:footnote w:id="60">
    <w:p w14:paraId="41200748" w14:textId="4EDA1000" w:rsidR="000679BB" w:rsidRPr="005216DB" w:rsidRDefault="000679BB">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American Historical Association, </w:t>
      </w:r>
      <w:r w:rsidR="00255AE3" w:rsidRPr="005216DB">
        <w:rPr>
          <w:rStyle w:val="Emphasis"/>
          <w:rFonts w:eastAsiaTheme="majorEastAsia"/>
          <w:color w:val="000000" w:themeColor="text1"/>
        </w:rPr>
        <w:t>Do You Want Your Wife to Work After the War?</w:t>
      </w:r>
      <w:r w:rsidR="00255AE3" w:rsidRPr="005216DB">
        <w:rPr>
          <w:color w:val="000000" w:themeColor="text1"/>
        </w:rPr>
        <w:t xml:space="preserve">, </w:t>
      </w:r>
      <w:r w:rsidRPr="005216DB">
        <w:rPr>
          <w:color w:val="000000" w:themeColor="text1"/>
        </w:rPr>
        <w:t xml:space="preserve">37. </w:t>
      </w:r>
    </w:p>
  </w:footnote>
  <w:footnote w:id="61">
    <w:p w14:paraId="25BA427F" w14:textId="44390030" w:rsidR="00F30CDC" w:rsidRPr="005216DB" w:rsidRDefault="00F30CDC">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American Historical Association, </w:t>
      </w:r>
      <w:r w:rsidRPr="005216DB">
        <w:rPr>
          <w:color w:val="000000" w:themeColor="text1"/>
        </w:rPr>
        <w:t>37</w:t>
      </w:r>
      <w:r w:rsidR="00255AE3" w:rsidRPr="005216DB">
        <w:rPr>
          <w:color w:val="000000" w:themeColor="text1"/>
        </w:rPr>
        <w:t>.</w:t>
      </w:r>
    </w:p>
  </w:footnote>
  <w:footnote w:id="62">
    <w:p w14:paraId="2519285D" w14:textId="36B83B65" w:rsidR="00F30CDC" w:rsidRPr="005216DB" w:rsidRDefault="00F30CDC">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 xml:space="preserve">American Historical Association, </w:t>
      </w:r>
      <w:r w:rsidRPr="005216DB">
        <w:rPr>
          <w:color w:val="000000" w:themeColor="text1"/>
        </w:rPr>
        <w:t>38</w:t>
      </w:r>
      <w:r w:rsidR="00255AE3" w:rsidRPr="005216DB">
        <w:rPr>
          <w:color w:val="000000" w:themeColor="text1"/>
        </w:rPr>
        <w:t>.</w:t>
      </w:r>
    </w:p>
  </w:footnote>
  <w:footnote w:id="63">
    <w:p w14:paraId="103E8E87" w14:textId="09643959" w:rsidR="001D567E" w:rsidRPr="005216DB" w:rsidRDefault="001D567E">
      <w:pPr>
        <w:pStyle w:val="FootnoteText"/>
        <w:rPr>
          <w:color w:val="000000" w:themeColor="text1"/>
        </w:rPr>
      </w:pPr>
      <w:r w:rsidRPr="005216DB">
        <w:rPr>
          <w:rStyle w:val="FootnoteReference"/>
          <w:color w:val="000000" w:themeColor="text1"/>
        </w:rPr>
        <w:footnoteRef/>
      </w:r>
      <w:r w:rsidRPr="005216DB">
        <w:rPr>
          <w:color w:val="000000" w:themeColor="text1"/>
        </w:rPr>
        <w:t xml:space="preserve"> </w:t>
      </w:r>
      <w:r w:rsidR="00255AE3" w:rsidRPr="005216DB">
        <w:rPr>
          <w:color w:val="000000" w:themeColor="text1"/>
        </w:rPr>
        <w:t>Nicko Prints, “Kamala Harris as Rosie the Riveter on the We Can Do It famous WW2 poster</w:t>
      </w:r>
      <w:r w:rsidR="00C048C8" w:rsidRPr="005216DB">
        <w:rPr>
          <w:color w:val="000000" w:themeColor="text1"/>
        </w:rPr>
        <w:t>—</w:t>
      </w:r>
      <w:r w:rsidR="00255AE3" w:rsidRPr="005216DB">
        <w:rPr>
          <w:color w:val="000000" w:themeColor="text1"/>
        </w:rPr>
        <w:t>Art Print,” Nicko Prints, accessed November 7,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6982760"/>
      <w:docPartObj>
        <w:docPartGallery w:val="Page Numbers (Top of Page)"/>
        <w:docPartUnique/>
      </w:docPartObj>
    </w:sdtPr>
    <w:sdtContent>
      <w:p w14:paraId="51135477" w14:textId="1F96263A" w:rsidR="00770AAE" w:rsidRDefault="00770AAE" w:rsidP="00D22E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663BDD" w14:textId="77777777" w:rsidR="00770AAE" w:rsidRDefault="00770AAE" w:rsidP="00770AA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9249521"/>
      <w:docPartObj>
        <w:docPartGallery w:val="Page Numbers (Top of Page)"/>
        <w:docPartUnique/>
      </w:docPartObj>
    </w:sdtPr>
    <w:sdtContent>
      <w:p w14:paraId="47F87BE6" w14:textId="180B2834" w:rsidR="00770AAE" w:rsidRDefault="00770AAE" w:rsidP="00D22E59">
        <w:pPr>
          <w:pStyle w:val="Header"/>
          <w:framePr w:wrap="none" w:vAnchor="text" w:hAnchor="margin" w:xAlign="right" w:y="1"/>
          <w:rPr>
            <w:rStyle w:val="PageNumber"/>
          </w:rPr>
        </w:pPr>
        <w:r>
          <w:rPr>
            <w:rStyle w:val="PageNumber"/>
          </w:rPr>
          <w:t xml:space="preserve">Drozd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3972DE" w14:textId="77777777" w:rsidR="00770AAE" w:rsidRDefault="00770AAE" w:rsidP="00770AA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6E"/>
    <w:rsid w:val="00000018"/>
    <w:rsid w:val="00005CEF"/>
    <w:rsid w:val="0001140E"/>
    <w:rsid w:val="00015279"/>
    <w:rsid w:val="00017001"/>
    <w:rsid w:val="000257E2"/>
    <w:rsid w:val="00033E88"/>
    <w:rsid w:val="000413B5"/>
    <w:rsid w:val="00053B88"/>
    <w:rsid w:val="00065B83"/>
    <w:rsid w:val="000679BB"/>
    <w:rsid w:val="00077F48"/>
    <w:rsid w:val="000865CC"/>
    <w:rsid w:val="00090961"/>
    <w:rsid w:val="00095910"/>
    <w:rsid w:val="00096753"/>
    <w:rsid w:val="000A213B"/>
    <w:rsid w:val="000A2DED"/>
    <w:rsid w:val="000B5B61"/>
    <w:rsid w:val="000C4F0C"/>
    <w:rsid w:val="000D414C"/>
    <w:rsid w:val="000D6F51"/>
    <w:rsid w:val="000D7E98"/>
    <w:rsid w:val="000E4FC3"/>
    <w:rsid w:val="000F5327"/>
    <w:rsid w:val="000F672F"/>
    <w:rsid w:val="00130DAC"/>
    <w:rsid w:val="001312C8"/>
    <w:rsid w:val="00147197"/>
    <w:rsid w:val="00153E84"/>
    <w:rsid w:val="0018093F"/>
    <w:rsid w:val="00187CA4"/>
    <w:rsid w:val="001B2011"/>
    <w:rsid w:val="001D3E5B"/>
    <w:rsid w:val="001D49E8"/>
    <w:rsid w:val="001D567E"/>
    <w:rsid w:val="001D6ACB"/>
    <w:rsid w:val="001F03A5"/>
    <w:rsid w:val="001F5688"/>
    <w:rsid w:val="002169AA"/>
    <w:rsid w:val="00220E9D"/>
    <w:rsid w:val="00223DC6"/>
    <w:rsid w:val="00233673"/>
    <w:rsid w:val="00237197"/>
    <w:rsid w:val="00255AE3"/>
    <w:rsid w:val="00264B0E"/>
    <w:rsid w:val="002846E6"/>
    <w:rsid w:val="0029171C"/>
    <w:rsid w:val="002A25B0"/>
    <w:rsid w:val="002B1C50"/>
    <w:rsid w:val="002B3162"/>
    <w:rsid w:val="002C43C7"/>
    <w:rsid w:val="002C5D46"/>
    <w:rsid w:val="002D2742"/>
    <w:rsid w:val="002E1584"/>
    <w:rsid w:val="002E1631"/>
    <w:rsid w:val="002E1E58"/>
    <w:rsid w:val="002E4228"/>
    <w:rsid w:val="002E5E36"/>
    <w:rsid w:val="002F4BE0"/>
    <w:rsid w:val="002F4D1F"/>
    <w:rsid w:val="00311904"/>
    <w:rsid w:val="003124C0"/>
    <w:rsid w:val="00320BB1"/>
    <w:rsid w:val="00321404"/>
    <w:rsid w:val="00322D0D"/>
    <w:rsid w:val="00331E37"/>
    <w:rsid w:val="0035495F"/>
    <w:rsid w:val="00360E9C"/>
    <w:rsid w:val="0036693C"/>
    <w:rsid w:val="0037157C"/>
    <w:rsid w:val="0037447E"/>
    <w:rsid w:val="003774E0"/>
    <w:rsid w:val="003813B6"/>
    <w:rsid w:val="003815CC"/>
    <w:rsid w:val="003947EB"/>
    <w:rsid w:val="00394E32"/>
    <w:rsid w:val="003A2DA3"/>
    <w:rsid w:val="003A5E9A"/>
    <w:rsid w:val="003A6424"/>
    <w:rsid w:val="003A71C5"/>
    <w:rsid w:val="003B720F"/>
    <w:rsid w:val="003C335E"/>
    <w:rsid w:val="003D49EF"/>
    <w:rsid w:val="003D6CEE"/>
    <w:rsid w:val="003E2014"/>
    <w:rsid w:val="00401464"/>
    <w:rsid w:val="0040359F"/>
    <w:rsid w:val="004104F7"/>
    <w:rsid w:val="004206B9"/>
    <w:rsid w:val="00424DA1"/>
    <w:rsid w:val="00430B64"/>
    <w:rsid w:val="00442805"/>
    <w:rsid w:val="004448CA"/>
    <w:rsid w:val="00450F5D"/>
    <w:rsid w:val="00462ED4"/>
    <w:rsid w:val="00465EB7"/>
    <w:rsid w:val="00470B84"/>
    <w:rsid w:val="004825B3"/>
    <w:rsid w:val="0049470B"/>
    <w:rsid w:val="004A0C62"/>
    <w:rsid w:val="004A44E6"/>
    <w:rsid w:val="004C3748"/>
    <w:rsid w:val="004D0CA7"/>
    <w:rsid w:val="004D383A"/>
    <w:rsid w:val="004E2108"/>
    <w:rsid w:val="004E6E8F"/>
    <w:rsid w:val="004F32E3"/>
    <w:rsid w:val="00510F07"/>
    <w:rsid w:val="00520718"/>
    <w:rsid w:val="00520AB8"/>
    <w:rsid w:val="005216DB"/>
    <w:rsid w:val="00523382"/>
    <w:rsid w:val="00530D34"/>
    <w:rsid w:val="005340F7"/>
    <w:rsid w:val="0055316C"/>
    <w:rsid w:val="005537F7"/>
    <w:rsid w:val="005778E8"/>
    <w:rsid w:val="00577DA0"/>
    <w:rsid w:val="00591356"/>
    <w:rsid w:val="00595FDE"/>
    <w:rsid w:val="005A7373"/>
    <w:rsid w:val="005C72FF"/>
    <w:rsid w:val="005D700D"/>
    <w:rsid w:val="005E3494"/>
    <w:rsid w:val="005E5D7A"/>
    <w:rsid w:val="005F1C40"/>
    <w:rsid w:val="006018DF"/>
    <w:rsid w:val="00601E7E"/>
    <w:rsid w:val="00604E41"/>
    <w:rsid w:val="00613814"/>
    <w:rsid w:val="006370E5"/>
    <w:rsid w:val="00644F82"/>
    <w:rsid w:val="006455C4"/>
    <w:rsid w:val="006518B8"/>
    <w:rsid w:val="00651D90"/>
    <w:rsid w:val="006730F6"/>
    <w:rsid w:val="006757C6"/>
    <w:rsid w:val="00680AA0"/>
    <w:rsid w:val="0068167C"/>
    <w:rsid w:val="00693B22"/>
    <w:rsid w:val="00696747"/>
    <w:rsid w:val="00697DD0"/>
    <w:rsid w:val="006A50BA"/>
    <w:rsid w:val="006A6678"/>
    <w:rsid w:val="006B123B"/>
    <w:rsid w:val="006B232D"/>
    <w:rsid w:val="006C6BAD"/>
    <w:rsid w:val="006D3F05"/>
    <w:rsid w:val="006D4DE8"/>
    <w:rsid w:val="006D5EDD"/>
    <w:rsid w:val="006D7534"/>
    <w:rsid w:val="006F4953"/>
    <w:rsid w:val="00700046"/>
    <w:rsid w:val="0070626E"/>
    <w:rsid w:val="00714C7A"/>
    <w:rsid w:val="00722907"/>
    <w:rsid w:val="00724CD2"/>
    <w:rsid w:val="00727D23"/>
    <w:rsid w:val="007447E2"/>
    <w:rsid w:val="0074766E"/>
    <w:rsid w:val="007648F1"/>
    <w:rsid w:val="00770AAE"/>
    <w:rsid w:val="00772013"/>
    <w:rsid w:val="007743F5"/>
    <w:rsid w:val="00777090"/>
    <w:rsid w:val="00780DE8"/>
    <w:rsid w:val="007A2260"/>
    <w:rsid w:val="007A2525"/>
    <w:rsid w:val="007B39DB"/>
    <w:rsid w:val="007B736E"/>
    <w:rsid w:val="007C0847"/>
    <w:rsid w:val="007E5C22"/>
    <w:rsid w:val="007F6B73"/>
    <w:rsid w:val="008040E7"/>
    <w:rsid w:val="00811B7C"/>
    <w:rsid w:val="00821E17"/>
    <w:rsid w:val="00825F9B"/>
    <w:rsid w:val="00842829"/>
    <w:rsid w:val="008473CA"/>
    <w:rsid w:val="00865DCE"/>
    <w:rsid w:val="0087414E"/>
    <w:rsid w:val="0087424C"/>
    <w:rsid w:val="008815CC"/>
    <w:rsid w:val="00881A28"/>
    <w:rsid w:val="008B44A8"/>
    <w:rsid w:val="008C0B73"/>
    <w:rsid w:val="008C7694"/>
    <w:rsid w:val="008F2327"/>
    <w:rsid w:val="00910BB9"/>
    <w:rsid w:val="009120E8"/>
    <w:rsid w:val="00931F5D"/>
    <w:rsid w:val="00936661"/>
    <w:rsid w:val="00947BB1"/>
    <w:rsid w:val="00980257"/>
    <w:rsid w:val="00985F29"/>
    <w:rsid w:val="009923C9"/>
    <w:rsid w:val="009B2A6B"/>
    <w:rsid w:val="009B36BE"/>
    <w:rsid w:val="009C6B3C"/>
    <w:rsid w:val="009C6EDD"/>
    <w:rsid w:val="009C6FC4"/>
    <w:rsid w:val="009D2F1F"/>
    <w:rsid w:val="009E2B04"/>
    <w:rsid w:val="009F4F76"/>
    <w:rsid w:val="009F5FDF"/>
    <w:rsid w:val="00A03643"/>
    <w:rsid w:val="00A070F9"/>
    <w:rsid w:val="00A15528"/>
    <w:rsid w:val="00A16048"/>
    <w:rsid w:val="00A410EC"/>
    <w:rsid w:val="00A65AC9"/>
    <w:rsid w:val="00A81BDE"/>
    <w:rsid w:val="00A95E7E"/>
    <w:rsid w:val="00AB143A"/>
    <w:rsid w:val="00AB764B"/>
    <w:rsid w:val="00AB7851"/>
    <w:rsid w:val="00AC7F97"/>
    <w:rsid w:val="00AD4254"/>
    <w:rsid w:val="00AE788D"/>
    <w:rsid w:val="00B0057C"/>
    <w:rsid w:val="00B019FB"/>
    <w:rsid w:val="00B06191"/>
    <w:rsid w:val="00B13203"/>
    <w:rsid w:val="00B1436D"/>
    <w:rsid w:val="00B34622"/>
    <w:rsid w:val="00B51F9A"/>
    <w:rsid w:val="00B524C7"/>
    <w:rsid w:val="00B55B73"/>
    <w:rsid w:val="00B616C4"/>
    <w:rsid w:val="00B734F0"/>
    <w:rsid w:val="00B7440A"/>
    <w:rsid w:val="00B81110"/>
    <w:rsid w:val="00B85BCD"/>
    <w:rsid w:val="00B87A2F"/>
    <w:rsid w:val="00B91423"/>
    <w:rsid w:val="00BA1BEC"/>
    <w:rsid w:val="00BA2C56"/>
    <w:rsid w:val="00BA3D28"/>
    <w:rsid w:val="00BA7273"/>
    <w:rsid w:val="00BB1BCB"/>
    <w:rsid w:val="00BC5E3B"/>
    <w:rsid w:val="00BD36E8"/>
    <w:rsid w:val="00BE7455"/>
    <w:rsid w:val="00C006F2"/>
    <w:rsid w:val="00C01513"/>
    <w:rsid w:val="00C048C8"/>
    <w:rsid w:val="00C04C8C"/>
    <w:rsid w:val="00C14E6D"/>
    <w:rsid w:val="00C26E90"/>
    <w:rsid w:val="00C313CB"/>
    <w:rsid w:val="00C3559D"/>
    <w:rsid w:val="00C36279"/>
    <w:rsid w:val="00C3674F"/>
    <w:rsid w:val="00C406AF"/>
    <w:rsid w:val="00C434F6"/>
    <w:rsid w:val="00C45E50"/>
    <w:rsid w:val="00C726CA"/>
    <w:rsid w:val="00C74EE7"/>
    <w:rsid w:val="00C74FA9"/>
    <w:rsid w:val="00C75510"/>
    <w:rsid w:val="00C75D6D"/>
    <w:rsid w:val="00C9355D"/>
    <w:rsid w:val="00CD1E13"/>
    <w:rsid w:val="00CD4571"/>
    <w:rsid w:val="00CD5580"/>
    <w:rsid w:val="00CD5CA1"/>
    <w:rsid w:val="00CE4742"/>
    <w:rsid w:val="00CE74DA"/>
    <w:rsid w:val="00D03793"/>
    <w:rsid w:val="00D15B76"/>
    <w:rsid w:val="00D245B4"/>
    <w:rsid w:val="00D24B8E"/>
    <w:rsid w:val="00D51DE2"/>
    <w:rsid w:val="00D57CB1"/>
    <w:rsid w:val="00D624C9"/>
    <w:rsid w:val="00D66FA8"/>
    <w:rsid w:val="00D764C2"/>
    <w:rsid w:val="00D77131"/>
    <w:rsid w:val="00D80A32"/>
    <w:rsid w:val="00D850AD"/>
    <w:rsid w:val="00D911B3"/>
    <w:rsid w:val="00D96E87"/>
    <w:rsid w:val="00DB4766"/>
    <w:rsid w:val="00DB4C69"/>
    <w:rsid w:val="00DC25B2"/>
    <w:rsid w:val="00DC4897"/>
    <w:rsid w:val="00DD1225"/>
    <w:rsid w:val="00DD1E62"/>
    <w:rsid w:val="00DD2352"/>
    <w:rsid w:val="00DE0AF1"/>
    <w:rsid w:val="00DE5C79"/>
    <w:rsid w:val="00DF1B40"/>
    <w:rsid w:val="00DF2FAE"/>
    <w:rsid w:val="00DF55F1"/>
    <w:rsid w:val="00DF6375"/>
    <w:rsid w:val="00DF6FD5"/>
    <w:rsid w:val="00E0093C"/>
    <w:rsid w:val="00E06B58"/>
    <w:rsid w:val="00E12B26"/>
    <w:rsid w:val="00E15F42"/>
    <w:rsid w:val="00E16771"/>
    <w:rsid w:val="00E17CAC"/>
    <w:rsid w:val="00E34FAC"/>
    <w:rsid w:val="00E45A78"/>
    <w:rsid w:val="00E462D2"/>
    <w:rsid w:val="00E46572"/>
    <w:rsid w:val="00E523AC"/>
    <w:rsid w:val="00E6243C"/>
    <w:rsid w:val="00E64BFE"/>
    <w:rsid w:val="00E6685E"/>
    <w:rsid w:val="00E8117F"/>
    <w:rsid w:val="00E82B1D"/>
    <w:rsid w:val="00E90EC5"/>
    <w:rsid w:val="00E927C8"/>
    <w:rsid w:val="00EA46E6"/>
    <w:rsid w:val="00EA6655"/>
    <w:rsid w:val="00EC2034"/>
    <w:rsid w:val="00EC2242"/>
    <w:rsid w:val="00EE16A6"/>
    <w:rsid w:val="00EE6414"/>
    <w:rsid w:val="00EF012E"/>
    <w:rsid w:val="00EF0BEC"/>
    <w:rsid w:val="00EF115B"/>
    <w:rsid w:val="00EF7F43"/>
    <w:rsid w:val="00F01C6D"/>
    <w:rsid w:val="00F04874"/>
    <w:rsid w:val="00F12EE2"/>
    <w:rsid w:val="00F14609"/>
    <w:rsid w:val="00F247C9"/>
    <w:rsid w:val="00F30CDC"/>
    <w:rsid w:val="00F35F53"/>
    <w:rsid w:val="00F41995"/>
    <w:rsid w:val="00F47699"/>
    <w:rsid w:val="00F6138B"/>
    <w:rsid w:val="00F66D20"/>
    <w:rsid w:val="00F67855"/>
    <w:rsid w:val="00F73497"/>
    <w:rsid w:val="00F74168"/>
    <w:rsid w:val="00F76B8F"/>
    <w:rsid w:val="00F80B60"/>
    <w:rsid w:val="00F84174"/>
    <w:rsid w:val="00F90001"/>
    <w:rsid w:val="00FA3CB7"/>
    <w:rsid w:val="00FA4DA2"/>
    <w:rsid w:val="00FA6574"/>
    <w:rsid w:val="00FC0B8D"/>
    <w:rsid w:val="00FE3C49"/>
    <w:rsid w:val="00FE4480"/>
    <w:rsid w:val="00FF0AF3"/>
    <w:rsid w:val="00FF56BB"/>
    <w:rsid w:val="00FF7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E5109"/>
  <w15:chartTrackingRefBased/>
  <w15:docId w15:val="{861ACE6A-9C88-F743-AE27-87CDFDA1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66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4766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4766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4766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4766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4766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4766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4766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4766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4766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66E"/>
    <w:rPr>
      <w:rFonts w:eastAsiaTheme="majorEastAsia" w:cstheme="majorBidi"/>
      <w:color w:val="272727" w:themeColor="text1" w:themeTint="D8"/>
    </w:rPr>
  </w:style>
  <w:style w:type="paragraph" w:styleId="Title">
    <w:name w:val="Title"/>
    <w:basedOn w:val="Normal"/>
    <w:next w:val="Normal"/>
    <w:link w:val="TitleChar"/>
    <w:uiPriority w:val="10"/>
    <w:qFormat/>
    <w:rsid w:val="0074766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47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6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47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66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4766E"/>
    <w:rPr>
      <w:i/>
      <w:iCs/>
      <w:color w:val="404040" w:themeColor="text1" w:themeTint="BF"/>
    </w:rPr>
  </w:style>
  <w:style w:type="paragraph" w:styleId="ListParagraph">
    <w:name w:val="List Paragraph"/>
    <w:basedOn w:val="Normal"/>
    <w:uiPriority w:val="34"/>
    <w:qFormat/>
    <w:rsid w:val="0074766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4766E"/>
    <w:rPr>
      <w:i/>
      <w:iCs/>
      <w:color w:val="0F4761" w:themeColor="accent1" w:themeShade="BF"/>
    </w:rPr>
  </w:style>
  <w:style w:type="paragraph" w:styleId="IntenseQuote">
    <w:name w:val="Intense Quote"/>
    <w:basedOn w:val="Normal"/>
    <w:next w:val="Normal"/>
    <w:link w:val="IntenseQuoteChar"/>
    <w:uiPriority w:val="30"/>
    <w:qFormat/>
    <w:rsid w:val="0074766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4766E"/>
    <w:rPr>
      <w:i/>
      <w:iCs/>
      <w:color w:val="0F4761" w:themeColor="accent1" w:themeShade="BF"/>
    </w:rPr>
  </w:style>
  <w:style w:type="character" w:styleId="IntenseReference">
    <w:name w:val="Intense Reference"/>
    <w:basedOn w:val="DefaultParagraphFont"/>
    <w:uiPriority w:val="32"/>
    <w:qFormat/>
    <w:rsid w:val="0074766E"/>
    <w:rPr>
      <w:b/>
      <w:bCs/>
      <w:smallCaps/>
      <w:color w:val="0F4761" w:themeColor="accent1" w:themeShade="BF"/>
      <w:spacing w:val="5"/>
    </w:rPr>
  </w:style>
  <w:style w:type="paragraph" w:styleId="FootnoteText">
    <w:name w:val="footnote text"/>
    <w:basedOn w:val="Normal"/>
    <w:link w:val="FootnoteTextChar"/>
    <w:uiPriority w:val="99"/>
    <w:semiHidden/>
    <w:unhideWhenUsed/>
    <w:rsid w:val="0074766E"/>
    <w:rPr>
      <w:sz w:val="20"/>
      <w:szCs w:val="20"/>
    </w:rPr>
  </w:style>
  <w:style w:type="character" w:customStyle="1" w:styleId="FootnoteTextChar">
    <w:name w:val="Footnote Text Char"/>
    <w:basedOn w:val="DefaultParagraphFont"/>
    <w:link w:val="FootnoteText"/>
    <w:uiPriority w:val="99"/>
    <w:semiHidden/>
    <w:rsid w:val="0074766E"/>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4766E"/>
    <w:rPr>
      <w:vertAlign w:val="superscript"/>
    </w:rPr>
  </w:style>
  <w:style w:type="paragraph" w:styleId="NormalWeb">
    <w:name w:val="Normal (Web)"/>
    <w:basedOn w:val="Normal"/>
    <w:uiPriority w:val="99"/>
    <w:unhideWhenUsed/>
    <w:rsid w:val="0074766E"/>
    <w:pPr>
      <w:spacing w:before="100" w:beforeAutospacing="1" w:after="100" w:afterAutospacing="1"/>
    </w:pPr>
  </w:style>
  <w:style w:type="character" w:styleId="CommentReference">
    <w:name w:val="annotation reference"/>
    <w:basedOn w:val="DefaultParagraphFont"/>
    <w:uiPriority w:val="99"/>
    <w:semiHidden/>
    <w:unhideWhenUsed/>
    <w:rsid w:val="0074766E"/>
    <w:rPr>
      <w:sz w:val="16"/>
      <w:szCs w:val="16"/>
    </w:rPr>
  </w:style>
  <w:style w:type="character" w:styleId="Emphasis">
    <w:name w:val="Emphasis"/>
    <w:basedOn w:val="DefaultParagraphFont"/>
    <w:uiPriority w:val="20"/>
    <w:qFormat/>
    <w:rsid w:val="0074766E"/>
    <w:rPr>
      <w:i/>
      <w:iCs/>
    </w:rPr>
  </w:style>
  <w:style w:type="character" w:customStyle="1" w:styleId="t286pc">
    <w:name w:val="t286pc"/>
    <w:basedOn w:val="DefaultParagraphFont"/>
    <w:rsid w:val="0074766E"/>
  </w:style>
  <w:style w:type="paragraph" w:customStyle="1" w:styleId="p1">
    <w:name w:val="p1"/>
    <w:basedOn w:val="Normal"/>
    <w:rsid w:val="0074766E"/>
    <w:rPr>
      <w:color w:val="000000"/>
      <w:sz w:val="18"/>
      <w:szCs w:val="18"/>
    </w:rPr>
  </w:style>
  <w:style w:type="character" w:styleId="Hyperlink">
    <w:name w:val="Hyperlink"/>
    <w:basedOn w:val="DefaultParagraphFont"/>
    <w:uiPriority w:val="99"/>
    <w:unhideWhenUsed/>
    <w:rsid w:val="0074766E"/>
    <w:rPr>
      <w:color w:val="467886" w:themeColor="hyperlink"/>
      <w:u w:val="single"/>
    </w:rPr>
  </w:style>
  <w:style w:type="character" w:customStyle="1" w:styleId="vkekvd">
    <w:name w:val="vkekvd"/>
    <w:basedOn w:val="DefaultParagraphFont"/>
    <w:rsid w:val="0074766E"/>
  </w:style>
  <w:style w:type="paragraph" w:styleId="Header">
    <w:name w:val="header"/>
    <w:basedOn w:val="Normal"/>
    <w:link w:val="HeaderChar"/>
    <w:uiPriority w:val="99"/>
    <w:unhideWhenUsed/>
    <w:rsid w:val="00770AAE"/>
    <w:pPr>
      <w:tabs>
        <w:tab w:val="center" w:pos="4680"/>
        <w:tab w:val="right" w:pos="9360"/>
      </w:tabs>
    </w:pPr>
  </w:style>
  <w:style w:type="character" w:customStyle="1" w:styleId="HeaderChar">
    <w:name w:val="Header Char"/>
    <w:basedOn w:val="DefaultParagraphFont"/>
    <w:link w:val="Header"/>
    <w:uiPriority w:val="99"/>
    <w:rsid w:val="00770AAE"/>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770AAE"/>
  </w:style>
  <w:style w:type="paragraph" w:styleId="Footer">
    <w:name w:val="footer"/>
    <w:basedOn w:val="Normal"/>
    <w:link w:val="FooterChar"/>
    <w:uiPriority w:val="99"/>
    <w:unhideWhenUsed/>
    <w:rsid w:val="00770AAE"/>
    <w:pPr>
      <w:tabs>
        <w:tab w:val="center" w:pos="4680"/>
        <w:tab w:val="right" w:pos="9360"/>
      </w:tabs>
    </w:pPr>
  </w:style>
  <w:style w:type="character" w:customStyle="1" w:styleId="FooterChar">
    <w:name w:val="Footer Char"/>
    <w:basedOn w:val="DefaultParagraphFont"/>
    <w:link w:val="Footer"/>
    <w:uiPriority w:val="99"/>
    <w:rsid w:val="00770AAE"/>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811B7C"/>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uiPriority w:val="99"/>
    <w:semiHidden/>
    <w:unhideWhenUsed/>
    <w:rsid w:val="00C434F6"/>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2E1E58"/>
    <w:rPr>
      <w:b/>
      <w:bCs/>
    </w:rPr>
  </w:style>
  <w:style w:type="character" w:customStyle="1" w:styleId="CommentSubjectChar">
    <w:name w:val="Comment Subject Char"/>
    <w:basedOn w:val="CommentTextChar"/>
    <w:link w:val="CommentSubject"/>
    <w:uiPriority w:val="99"/>
    <w:semiHidden/>
    <w:rsid w:val="002E1E58"/>
    <w:rPr>
      <w:rFonts w:ascii="Times New Roman" w:eastAsia="Times New Roman" w:hAnsi="Times New Roman" w:cs="Times New Roman"/>
      <w:b/>
      <w:bCs/>
      <w:kern w:val="0"/>
      <w:sz w:val="20"/>
      <w:szCs w:val="20"/>
      <w14:ligatures w14:val="none"/>
    </w:rPr>
  </w:style>
  <w:style w:type="paragraph" w:styleId="TableofFigures">
    <w:name w:val="table of figures"/>
    <w:basedOn w:val="Normal"/>
    <w:next w:val="Normal"/>
    <w:uiPriority w:val="99"/>
    <w:unhideWhenUsed/>
    <w:rsid w:val="0049470B"/>
  </w:style>
  <w:style w:type="paragraph" w:styleId="Caption">
    <w:name w:val="caption"/>
    <w:basedOn w:val="Normal"/>
    <w:next w:val="Normal"/>
    <w:uiPriority w:val="35"/>
    <w:unhideWhenUsed/>
    <w:qFormat/>
    <w:rsid w:val="0049470B"/>
    <w:pPr>
      <w:spacing w:after="200"/>
    </w:pPr>
    <w:rPr>
      <w:i/>
      <w:iCs/>
      <w:color w:val="0E2841" w:themeColor="text2"/>
      <w:sz w:val="18"/>
      <w:szCs w:val="18"/>
    </w:rPr>
  </w:style>
  <w:style w:type="paragraph" w:styleId="Revision">
    <w:name w:val="Revision"/>
    <w:hidden/>
    <w:uiPriority w:val="99"/>
    <w:semiHidden/>
    <w:rsid w:val="00C74FA9"/>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3182">
      <w:bodyDiv w:val="1"/>
      <w:marLeft w:val="0"/>
      <w:marRight w:val="0"/>
      <w:marTop w:val="0"/>
      <w:marBottom w:val="0"/>
      <w:divBdr>
        <w:top w:val="none" w:sz="0" w:space="0" w:color="auto"/>
        <w:left w:val="none" w:sz="0" w:space="0" w:color="auto"/>
        <w:bottom w:val="none" w:sz="0" w:space="0" w:color="auto"/>
        <w:right w:val="none" w:sz="0" w:space="0" w:color="auto"/>
      </w:divBdr>
      <w:divsChild>
        <w:div w:id="1792941075">
          <w:marLeft w:val="0"/>
          <w:marRight w:val="0"/>
          <w:marTop w:val="120"/>
          <w:marBottom w:val="120"/>
          <w:divBdr>
            <w:top w:val="none" w:sz="0" w:space="0" w:color="auto"/>
            <w:left w:val="none" w:sz="0" w:space="0" w:color="auto"/>
            <w:bottom w:val="none" w:sz="0" w:space="0" w:color="auto"/>
            <w:right w:val="none" w:sz="0" w:space="0" w:color="auto"/>
          </w:divBdr>
        </w:div>
      </w:divsChild>
    </w:div>
    <w:div w:id="86196476">
      <w:bodyDiv w:val="1"/>
      <w:marLeft w:val="0"/>
      <w:marRight w:val="0"/>
      <w:marTop w:val="0"/>
      <w:marBottom w:val="0"/>
      <w:divBdr>
        <w:top w:val="none" w:sz="0" w:space="0" w:color="auto"/>
        <w:left w:val="none" w:sz="0" w:space="0" w:color="auto"/>
        <w:bottom w:val="none" w:sz="0" w:space="0" w:color="auto"/>
        <w:right w:val="none" w:sz="0" w:space="0" w:color="auto"/>
      </w:divBdr>
      <w:divsChild>
        <w:div w:id="1794902187">
          <w:marLeft w:val="0"/>
          <w:marRight w:val="0"/>
          <w:marTop w:val="120"/>
          <w:marBottom w:val="120"/>
          <w:divBdr>
            <w:top w:val="none" w:sz="0" w:space="0" w:color="auto"/>
            <w:left w:val="none" w:sz="0" w:space="0" w:color="auto"/>
            <w:bottom w:val="none" w:sz="0" w:space="0" w:color="auto"/>
            <w:right w:val="none" w:sz="0" w:space="0" w:color="auto"/>
          </w:divBdr>
        </w:div>
      </w:divsChild>
    </w:div>
    <w:div w:id="153760530">
      <w:bodyDiv w:val="1"/>
      <w:marLeft w:val="0"/>
      <w:marRight w:val="0"/>
      <w:marTop w:val="0"/>
      <w:marBottom w:val="0"/>
      <w:divBdr>
        <w:top w:val="none" w:sz="0" w:space="0" w:color="auto"/>
        <w:left w:val="none" w:sz="0" w:space="0" w:color="auto"/>
        <w:bottom w:val="none" w:sz="0" w:space="0" w:color="auto"/>
        <w:right w:val="none" w:sz="0" w:space="0" w:color="auto"/>
      </w:divBdr>
      <w:divsChild>
        <w:div w:id="1235161193">
          <w:marLeft w:val="0"/>
          <w:marRight w:val="0"/>
          <w:marTop w:val="120"/>
          <w:marBottom w:val="120"/>
          <w:divBdr>
            <w:top w:val="none" w:sz="0" w:space="0" w:color="auto"/>
            <w:left w:val="none" w:sz="0" w:space="0" w:color="auto"/>
            <w:bottom w:val="none" w:sz="0" w:space="0" w:color="auto"/>
            <w:right w:val="none" w:sz="0" w:space="0" w:color="auto"/>
          </w:divBdr>
        </w:div>
      </w:divsChild>
    </w:div>
    <w:div w:id="225727446">
      <w:bodyDiv w:val="1"/>
      <w:marLeft w:val="0"/>
      <w:marRight w:val="0"/>
      <w:marTop w:val="0"/>
      <w:marBottom w:val="0"/>
      <w:divBdr>
        <w:top w:val="none" w:sz="0" w:space="0" w:color="auto"/>
        <w:left w:val="none" w:sz="0" w:space="0" w:color="auto"/>
        <w:bottom w:val="none" w:sz="0" w:space="0" w:color="auto"/>
        <w:right w:val="none" w:sz="0" w:space="0" w:color="auto"/>
      </w:divBdr>
      <w:divsChild>
        <w:div w:id="616177923">
          <w:marLeft w:val="0"/>
          <w:marRight w:val="0"/>
          <w:marTop w:val="120"/>
          <w:marBottom w:val="120"/>
          <w:divBdr>
            <w:top w:val="none" w:sz="0" w:space="0" w:color="auto"/>
            <w:left w:val="none" w:sz="0" w:space="0" w:color="auto"/>
            <w:bottom w:val="none" w:sz="0" w:space="0" w:color="auto"/>
            <w:right w:val="none" w:sz="0" w:space="0" w:color="auto"/>
          </w:divBdr>
        </w:div>
      </w:divsChild>
    </w:div>
    <w:div w:id="331570236">
      <w:bodyDiv w:val="1"/>
      <w:marLeft w:val="0"/>
      <w:marRight w:val="0"/>
      <w:marTop w:val="0"/>
      <w:marBottom w:val="0"/>
      <w:divBdr>
        <w:top w:val="none" w:sz="0" w:space="0" w:color="auto"/>
        <w:left w:val="none" w:sz="0" w:space="0" w:color="auto"/>
        <w:bottom w:val="none" w:sz="0" w:space="0" w:color="auto"/>
        <w:right w:val="none" w:sz="0" w:space="0" w:color="auto"/>
      </w:divBdr>
      <w:divsChild>
        <w:div w:id="1361198251">
          <w:marLeft w:val="0"/>
          <w:marRight w:val="0"/>
          <w:marTop w:val="120"/>
          <w:marBottom w:val="120"/>
          <w:divBdr>
            <w:top w:val="none" w:sz="0" w:space="0" w:color="auto"/>
            <w:left w:val="none" w:sz="0" w:space="0" w:color="auto"/>
            <w:bottom w:val="none" w:sz="0" w:space="0" w:color="auto"/>
            <w:right w:val="none" w:sz="0" w:space="0" w:color="auto"/>
          </w:divBdr>
        </w:div>
      </w:divsChild>
    </w:div>
    <w:div w:id="356085198">
      <w:bodyDiv w:val="1"/>
      <w:marLeft w:val="0"/>
      <w:marRight w:val="0"/>
      <w:marTop w:val="0"/>
      <w:marBottom w:val="0"/>
      <w:divBdr>
        <w:top w:val="none" w:sz="0" w:space="0" w:color="auto"/>
        <w:left w:val="none" w:sz="0" w:space="0" w:color="auto"/>
        <w:bottom w:val="none" w:sz="0" w:space="0" w:color="auto"/>
        <w:right w:val="none" w:sz="0" w:space="0" w:color="auto"/>
      </w:divBdr>
      <w:divsChild>
        <w:div w:id="1149860910">
          <w:marLeft w:val="0"/>
          <w:marRight w:val="0"/>
          <w:marTop w:val="120"/>
          <w:marBottom w:val="120"/>
          <w:divBdr>
            <w:top w:val="none" w:sz="0" w:space="0" w:color="auto"/>
            <w:left w:val="none" w:sz="0" w:space="0" w:color="auto"/>
            <w:bottom w:val="none" w:sz="0" w:space="0" w:color="auto"/>
            <w:right w:val="none" w:sz="0" w:space="0" w:color="auto"/>
          </w:divBdr>
        </w:div>
      </w:divsChild>
    </w:div>
    <w:div w:id="460535850">
      <w:bodyDiv w:val="1"/>
      <w:marLeft w:val="0"/>
      <w:marRight w:val="0"/>
      <w:marTop w:val="0"/>
      <w:marBottom w:val="0"/>
      <w:divBdr>
        <w:top w:val="none" w:sz="0" w:space="0" w:color="auto"/>
        <w:left w:val="none" w:sz="0" w:space="0" w:color="auto"/>
        <w:bottom w:val="none" w:sz="0" w:space="0" w:color="auto"/>
        <w:right w:val="none" w:sz="0" w:space="0" w:color="auto"/>
      </w:divBdr>
      <w:divsChild>
        <w:div w:id="187722743">
          <w:marLeft w:val="0"/>
          <w:marRight w:val="0"/>
          <w:marTop w:val="120"/>
          <w:marBottom w:val="120"/>
          <w:divBdr>
            <w:top w:val="none" w:sz="0" w:space="0" w:color="auto"/>
            <w:left w:val="none" w:sz="0" w:space="0" w:color="auto"/>
            <w:bottom w:val="none" w:sz="0" w:space="0" w:color="auto"/>
            <w:right w:val="none" w:sz="0" w:space="0" w:color="auto"/>
          </w:divBdr>
        </w:div>
      </w:divsChild>
    </w:div>
    <w:div w:id="659164771">
      <w:bodyDiv w:val="1"/>
      <w:marLeft w:val="0"/>
      <w:marRight w:val="0"/>
      <w:marTop w:val="0"/>
      <w:marBottom w:val="0"/>
      <w:divBdr>
        <w:top w:val="none" w:sz="0" w:space="0" w:color="auto"/>
        <w:left w:val="none" w:sz="0" w:space="0" w:color="auto"/>
        <w:bottom w:val="none" w:sz="0" w:space="0" w:color="auto"/>
        <w:right w:val="none" w:sz="0" w:space="0" w:color="auto"/>
      </w:divBdr>
      <w:divsChild>
        <w:div w:id="2142578481">
          <w:marLeft w:val="0"/>
          <w:marRight w:val="0"/>
          <w:marTop w:val="120"/>
          <w:marBottom w:val="120"/>
          <w:divBdr>
            <w:top w:val="none" w:sz="0" w:space="0" w:color="auto"/>
            <w:left w:val="none" w:sz="0" w:space="0" w:color="auto"/>
            <w:bottom w:val="none" w:sz="0" w:space="0" w:color="auto"/>
            <w:right w:val="none" w:sz="0" w:space="0" w:color="auto"/>
          </w:divBdr>
        </w:div>
      </w:divsChild>
    </w:div>
    <w:div w:id="709841758">
      <w:bodyDiv w:val="1"/>
      <w:marLeft w:val="0"/>
      <w:marRight w:val="0"/>
      <w:marTop w:val="0"/>
      <w:marBottom w:val="0"/>
      <w:divBdr>
        <w:top w:val="none" w:sz="0" w:space="0" w:color="auto"/>
        <w:left w:val="none" w:sz="0" w:space="0" w:color="auto"/>
        <w:bottom w:val="none" w:sz="0" w:space="0" w:color="auto"/>
        <w:right w:val="none" w:sz="0" w:space="0" w:color="auto"/>
      </w:divBdr>
      <w:divsChild>
        <w:div w:id="1480226338">
          <w:marLeft w:val="0"/>
          <w:marRight w:val="0"/>
          <w:marTop w:val="0"/>
          <w:marBottom w:val="0"/>
          <w:divBdr>
            <w:top w:val="none" w:sz="0" w:space="0" w:color="auto"/>
            <w:left w:val="none" w:sz="0" w:space="0" w:color="auto"/>
            <w:bottom w:val="none" w:sz="0" w:space="0" w:color="auto"/>
            <w:right w:val="none" w:sz="0" w:space="0" w:color="auto"/>
          </w:divBdr>
          <w:divsChild>
            <w:div w:id="7746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24345">
      <w:bodyDiv w:val="1"/>
      <w:marLeft w:val="0"/>
      <w:marRight w:val="0"/>
      <w:marTop w:val="0"/>
      <w:marBottom w:val="0"/>
      <w:divBdr>
        <w:top w:val="none" w:sz="0" w:space="0" w:color="auto"/>
        <w:left w:val="none" w:sz="0" w:space="0" w:color="auto"/>
        <w:bottom w:val="none" w:sz="0" w:space="0" w:color="auto"/>
        <w:right w:val="none" w:sz="0" w:space="0" w:color="auto"/>
      </w:divBdr>
      <w:divsChild>
        <w:div w:id="1584531718">
          <w:marLeft w:val="0"/>
          <w:marRight w:val="0"/>
          <w:marTop w:val="120"/>
          <w:marBottom w:val="120"/>
          <w:divBdr>
            <w:top w:val="none" w:sz="0" w:space="0" w:color="auto"/>
            <w:left w:val="none" w:sz="0" w:space="0" w:color="auto"/>
            <w:bottom w:val="none" w:sz="0" w:space="0" w:color="auto"/>
            <w:right w:val="none" w:sz="0" w:space="0" w:color="auto"/>
          </w:divBdr>
        </w:div>
      </w:divsChild>
    </w:div>
    <w:div w:id="928083563">
      <w:bodyDiv w:val="1"/>
      <w:marLeft w:val="0"/>
      <w:marRight w:val="0"/>
      <w:marTop w:val="0"/>
      <w:marBottom w:val="0"/>
      <w:divBdr>
        <w:top w:val="none" w:sz="0" w:space="0" w:color="auto"/>
        <w:left w:val="none" w:sz="0" w:space="0" w:color="auto"/>
        <w:bottom w:val="none" w:sz="0" w:space="0" w:color="auto"/>
        <w:right w:val="none" w:sz="0" w:space="0" w:color="auto"/>
      </w:divBdr>
      <w:divsChild>
        <w:div w:id="1565528607">
          <w:marLeft w:val="0"/>
          <w:marRight w:val="0"/>
          <w:marTop w:val="120"/>
          <w:marBottom w:val="120"/>
          <w:divBdr>
            <w:top w:val="none" w:sz="0" w:space="0" w:color="auto"/>
            <w:left w:val="none" w:sz="0" w:space="0" w:color="auto"/>
            <w:bottom w:val="none" w:sz="0" w:space="0" w:color="auto"/>
            <w:right w:val="none" w:sz="0" w:space="0" w:color="auto"/>
          </w:divBdr>
        </w:div>
      </w:divsChild>
    </w:div>
    <w:div w:id="933827963">
      <w:bodyDiv w:val="1"/>
      <w:marLeft w:val="0"/>
      <w:marRight w:val="0"/>
      <w:marTop w:val="0"/>
      <w:marBottom w:val="0"/>
      <w:divBdr>
        <w:top w:val="none" w:sz="0" w:space="0" w:color="auto"/>
        <w:left w:val="none" w:sz="0" w:space="0" w:color="auto"/>
        <w:bottom w:val="none" w:sz="0" w:space="0" w:color="auto"/>
        <w:right w:val="none" w:sz="0" w:space="0" w:color="auto"/>
      </w:divBdr>
      <w:divsChild>
        <w:div w:id="1111050627">
          <w:marLeft w:val="0"/>
          <w:marRight w:val="0"/>
          <w:marTop w:val="0"/>
          <w:marBottom w:val="0"/>
          <w:divBdr>
            <w:top w:val="none" w:sz="0" w:space="0" w:color="auto"/>
            <w:left w:val="none" w:sz="0" w:space="0" w:color="auto"/>
            <w:bottom w:val="none" w:sz="0" w:space="0" w:color="auto"/>
            <w:right w:val="none" w:sz="0" w:space="0" w:color="auto"/>
          </w:divBdr>
          <w:divsChild>
            <w:div w:id="104356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031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00">
          <w:marLeft w:val="0"/>
          <w:marRight w:val="0"/>
          <w:marTop w:val="120"/>
          <w:marBottom w:val="120"/>
          <w:divBdr>
            <w:top w:val="none" w:sz="0" w:space="0" w:color="auto"/>
            <w:left w:val="none" w:sz="0" w:space="0" w:color="auto"/>
            <w:bottom w:val="none" w:sz="0" w:space="0" w:color="auto"/>
            <w:right w:val="none" w:sz="0" w:space="0" w:color="auto"/>
          </w:divBdr>
        </w:div>
      </w:divsChild>
    </w:div>
    <w:div w:id="1059086623">
      <w:bodyDiv w:val="1"/>
      <w:marLeft w:val="0"/>
      <w:marRight w:val="0"/>
      <w:marTop w:val="0"/>
      <w:marBottom w:val="0"/>
      <w:divBdr>
        <w:top w:val="none" w:sz="0" w:space="0" w:color="auto"/>
        <w:left w:val="none" w:sz="0" w:space="0" w:color="auto"/>
        <w:bottom w:val="none" w:sz="0" w:space="0" w:color="auto"/>
        <w:right w:val="none" w:sz="0" w:space="0" w:color="auto"/>
      </w:divBdr>
      <w:divsChild>
        <w:div w:id="396710519">
          <w:marLeft w:val="0"/>
          <w:marRight w:val="0"/>
          <w:marTop w:val="0"/>
          <w:marBottom w:val="0"/>
          <w:divBdr>
            <w:top w:val="none" w:sz="0" w:space="0" w:color="auto"/>
            <w:left w:val="none" w:sz="0" w:space="0" w:color="auto"/>
            <w:bottom w:val="none" w:sz="0" w:space="0" w:color="auto"/>
            <w:right w:val="none" w:sz="0" w:space="0" w:color="auto"/>
          </w:divBdr>
          <w:divsChild>
            <w:div w:id="16415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72944">
      <w:bodyDiv w:val="1"/>
      <w:marLeft w:val="0"/>
      <w:marRight w:val="0"/>
      <w:marTop w:val="0"/>
      <w:marBottom w:val="0"/>
      <w:divBdr>
        <w:top w:val="none" w:sz="0" w:space="0" w:color="auto"/>
        <w:left w:val="none" w:sz="0" w:space="0" w:color="auto"/>
        <w:bottom w:val="none" w:sz="0" w:space="0" w:color="auto"/>
        <w:right w:val="none" w:sz="0" w:space="0" w:color="auto"/>
      </w:divBdr>
      <w:divsChild>
        <w:div w:id="1047949051">
          <w:marLeft w:val="0"/>
          <w:marRight w:val="0"/>
          <w:marTop w:val="120"/>
          <w:marBottom w:val="120"/>
          <w:divBdr>
            <w:top w:val="none" w:sz="0" w:space="0" w:color="auto"/>
            <w:left w:val="none" w:sz="0" w:space="0" w:color="auto"/>
            <w:bottom w:val="none" w:sz="0" w:space="0" w:color="auto"/>
            <w:right w:val="none" w:sz="0" w:space="0" w:color="auto"/>
          </w:divBdr>
        </w:div>
      </w:divsChild>
    </w:div>
    <w:div w:id="1328825931">
      <w:bodyDiv w:val="1"/>
      <w:marLeft w:val="0"/>
      <w:marRight w:val="0"/>
      <w:marTop w:val="0"/>
      <w:marBottom w:val="0"/>
      <w:divBdr>
        <w:top w:val="none" w:sz="0" w:space="0" w:color="auto"/>
        <w:left w:val="none" w:sz="0" w:space="0" w:color="auto"/>
        <w:bottom w:val="none" w:sz="0" w:space="0" w:color="auto"/>
        <w:right w:val="none" w:sz="0" w:space="0" w:color="auto"/>
      </w:divBdr>
      <w:divsChild>
        <w:div w:id="574124092">
          <w:marLeft w:val="0"/>
          <w:marRight w:val="0"/>
          <w:marTop w:val="0"/>
          <w:marBottom w:val="0"/>
          <w:divBdr>
            <w:top w:val="none" w:sz="0" w:space="0" w:color="auto"/>
            <w:left w:val="none" w:sz="0" w:space="0" w:color="auto"/>
            <w:bottom w:val="none" w:sz="0" w:space="0" w:color="auto"/>
            <w:right w:val="none" w:sz="0" w:space="0" w:color="auto"/>
          </w:divBdr>
          <w:divsChild>
            <w:div w:id="142576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5506">
      <w:bodyDiv w:val="1"/>
      <w:marLeft w:val="0"/>
      <w:marRight w:val="0"/>
      <w:marTop w:val="0"/>
      <w:marBottom w:val="0"/>
      <w:divBdr>
        <w:top w:val="none" w:sz="0" w:space="0" w:color="auto"/>
        <w:left w:val="none" w:sz="0" w:space="0" w:color="auto"/>
        <w:bottom w:val="none" w:sz="0" w:space="0" w:color="auto"/>
        <w:right w:val="none" w:sz="0" w:space="0" w:color="auto"/>
      </w:divBdr>
      <w:divsChild>
        <w:div w:id="2025739752">
          <w:marLeft w:val="0"/>
          <w:marRight w:val="0"/>
          <w:marTop w:val="120"/>
          <w:marBottom w:val="120"/>
          <w:divBdr>
            <w:top w:val="none" w:sz="0" w:space="0" w:color="auto"/>
            <w:left w:val="none" w:sz="0" w:space="0" w:color="auto"/>
            <w:bottom w:val="none" w:sz="0" w:space="0" w:color="auto"/>
            <w:right w:val="none" w:sz="0" w:space="0" w:color="auto"/>
          </w:divBdr>
        </w:div>
      </w:divsChild>
    </w:div>
    <w:div w:id="1423378796">
      <w:bodyDiv w:val="1"/>
      <w:marLeft w:val="0"/>
      <w:marRight w:val="0"/>
      <w:marTop w:val="0"/>
      <w:marBottom w:val="0"/>
      <w:divBdr>
        <w:top w:val="none" w:sz="0" w:space="0" w:color="auto"/>
        <w:left w:val="none" w:sz="0" w:space="0" w:color="auto"/>
        <w:bottom w:val="none" w:sz="0" w:space="0" w:color="auto"/>
        <w:right w:val="none" w:sz="0" w:space="0" w:color="auto"/>
      </w:divBdr>
      <w:divsChild>
        <w:div w:id="1779328309">
          <w:marLeft w:val="0"/>
          <w:marRight w:val="0"/>
          <w:marTop w:val="120"/>
          <w:marBottom w:val="120"/>
          <w:divBdr>
            <w:top w:val="none" w:sz="0" w:space="0" w:color="auto"/>
            <w:left w:val="none" w:sz="0" w:space="0" w:color="auto"/>
            <w:bottom w:val="none" w:sz="0" w:space="0" w:color="auto"/>
            <w:right w:val="none" w:sz="0" w:space="0" w:color="auto"/>
          </w:divBdr>
        </w:div>
      </w:divsChild>
    </w:div>
    <w:div w:id="1624190503">
      <w:bodyDiv w:val="1"/>
      <w:marLeft w:val="0"/>
      <w:marRight w:val="0"/>
      <w:marTop w:val="0"/>
      <w:marBottom w:val="0"/>
      <w:divBdr>
        <w:top w:val="none" w:sz="0" w:space="0" w:color="auto"/>
        <w:left w:val="none" w:sz="0" w:space="0" w:color="auto"/>
        <w:bottom w:val="none" w:sz="0" w:space="0" w:color="auto"/>
        <w:right w:val="none" w:sz="0" w:space="0" w:color="auto"/>
      </w:divBdr>
      <w:divsChild>
        <w:div w:id="1038041936">
          <w:marLeft w:val="0"/>
          <w:marRight w:val="0"/>
          <w:marTop w:val="120"/>
          <w:marBottom w:val="120"/>
          <w:divBdr>
            <w:top w:val="none" w:sz="0" w:space="0" w:color="auto"/>
            <w:left w:val="none" w:sz="0" w:space="0" w:color="auto"/>
            <w:bottom w:val="none" w:sz="0" w:space="0" w:color="auto"/>
            <w:right w:val="none" w:sz="0" w:space="0" w:color="auto"/>
          </w:divBdr>
        </w:div>
      </w:divsChild>
    </w:div>
    <w:div w:id="1637685389">
      <w:bodyDiv w:val="1"/>
      <w:marLeft w:val="0"/>
      <w:marRight w:val="0"/>
      <w:marTop w:val="0"/>
      <w:marBottom w:val="0"/>
      <w:divBdr>
        <w:top w:val="none" w:sz="0" w:space="0" w:color="auto"/>
        <w:left w:val="none" w:sz="0" w:space="0" w:color="auto"/>
        <w:bottom w:val="none" w:sz="0" w:space="0" w:color="auto"/>
        <w:right w:val="none" w:sz="0" w:space="0" w:color="auto"/>
      </w:divBdr>
      <w:divsChild>
        <w:div w:id="908419752">
          <w:marLeft w:val="0"/>
          <w:marRight w:val="0"/>
          <w:marTop w:val="120"/>
          <w:marBottom w:val="120"/>
          <w:divBdr>
            <w:top w:val="none" w:sz="0" w:space="0" w:color="auto"/>
            <w:left w:val="none" w:sz="0" w:space="0" w:color="auto"/>
            <w:bottom w:val="none" w:sz="0" w:space="0" w:color="auto"/>
            <w:right w:val="none" w:sz="0" w:space="0" w:color="auto"/>
          </w:divBdr>
        </w:div>
      </w:divsChild>
    </w:div>
    <w:div w:id="1710758075">
      <w:bodyDiv w:val="1"/>
      <w:marLeft w:val="0"/>
      <w:marRight w:val="0"/>
      <w:marTop w:val="0"/>
      <w:marBottom w:val="0"/>
      <w:divBdr>
        <w:top w:val="none" w:sz="0" w:space="0" w:color="auto"/>
        <w:left w:val="none" w:sz="0" w:space="0" w:color="auto"/>
        <w:bottom w:val="none" w:sz="0" w:space="0" w:color="auto"/>
        <w:right w:val="none" w:sz="0" w:space="0" w:color="auto"/>
      </w:divBdr>
      <w:divsChild>
        <w:div w:id="1398699359">
          <w:marLeft w:val="0"/>
          <w:marRight w:val="0"/>
          <w:marTop w:val="120"/>
          <w:marBottom w:val="120"/>
          <w:divBdr>
            <w:top w:val="none" w:sz="0" w:space="0" w:color="auto"/>
            <w:left w:val="none" w:sz="0" w:space="0" w:color="auto"/>
            <w:bottom w:val="none" w:sz="0" w:space="0" w:color="auto"/>
            <w:right w:val="none" w:sz="0" w:space="0" w:color="auto"/>
          </w:divBdr>
        </w:div>
      </w:divsChild>
    </w:div>
    <w:div w:id="1800106285">
      <w:bodyDiv w:val="1"/>
      <w:marLeft w:val="0"/>
      <w:marRight w:val="0"/>
      <w:marTop w:val="0"/>
      <w:marBottom w:val="0"/>
      <w:divBdr>
        <w:top w:val="none" w:sz="0" w:space="0" w:color="auto"/>
        <w:left w:val="none" w:sz="0" w:space="0" w:color="auto"/>
        <w:bottom w:val="none" w:sz="0" w:space="0" w:color="auto"/>
        <w:right w:val="none" w:sz="0" w:space="0" w:color="auto"/>
      </w:divBdr>
      <w:divsChild>
        <w:div w:id="614219700">
          <w:marLeft w:val="0"/>
          <w:marRight w:val="0"/>
          <w:marTop w:val="120"/>
          <w:marBottom w:val="120"/>
          <w:divBdr>
            <w:top w:val="none" w:sz="0" w:space="0" w:color="auto"/>
            <w:left w:val="none" w:sz="0" w:space="0" w:color="auto"/>
            <w:bottom w:val="none" w:sz="0" w:space="0" w:color="auto"/>
            <w:right w:val="none" w:sz="0" w:space="0" w:color="auto"/>
          </w:divBdr>
        </w:div>
      </w:divsChild>
    </w:div>
    <w:div w:id="1829705865">
      <w:bodyDiv w:val="1"/>
      <w:marLeft w:val="0"/>
      <w:marRight w:val="0"/>
      <w:marTop w:val="0"/>
      <w:marBottom w:val="0"/>
      <w:divBdr>
        <w:top w:val="none" w:sz="0" w:space="0" w:color="auto"/>
        <w:left w:val="none" w:sz="0" w:space="0" w:color="auto"/>
        <w:bottom w:val="none" w:sz="0" w:space="0" w:color="auto"/>
        <w:right w:val="none" w:sz="0" w:space="0" w:color="auto"/>
      </w:divBdr>
      <w:divsChild>
        <w:div w:id="1827166934">
          <w:marLeft w:val="0"/>
          <w:marRight w:val="0"/>
          <w:marTop w:val="120"/>
          <w:marBottom w:val="120"/>
          <w:divBdr>
            <w:top w:val="none" w:sz="0" w:space="0" w:color="auto"/>
            <w:left w:val="none" w:sz="0" w:space="0" w:color="auto"/>
            <w:bottom w:val="none" w:sz="0" w:space="0" w:color="auto"/>
            <w:right w:val="none" w:sz="0" w:space="0" w:color="auto"/>
          </w:divBdr>
        </w:div>
      </w:divsChild>
    </w:div>
    <w:div w:id="1849514861">
      <w:bodyDiv w:val="1"/>
      <w:marLeft w:val="0"/>
      <w:marRight w:val="0"/>
      <w:marTop w:val="0"/>
      <w:marBottom w:val="0"/>
      <w:divBdr>
        <w:top w:val="none" w:sz="0" w:space="0" w:color="auto"/>
        <w:left w:val="none" w:sz="0" w:space="0" w:color="auto"/>
        <w:bottom w:val="none" w:sz="0" w:space="0" w:color="auto"/>
        <w:right w:val="none" w:sz="0" w:space="0" w:color="auto"/>
      </w:divBdr>
      <w:divsChild>
        <w:div w:id="1537427611">
          <w:marLeft w:val="0"/>
          <w:marRight w:val="0"/>
          <w:marTop w:val="120"/>
          <w:marBottom w:val="120"/>
          <w:divBdr>
            <w:top w:val="none" w:sz="0" w:space="0" w:color="auto"/>
            <w:left w:val="none" w:sz="0" w:space="0" w:color="auto"/>
            <w:bottom w:val="none" w:sz="0" w:space="0" w:color="auto"/>
            <w:right w:val="none" w:sz="0" w:space="0" w:color="auto"/>
          </w:divBdr>
        </w:div>
      </w:divsChild>
    </w:div>
    <w:div w:id="1899826769">
      <w:bodyDiv w:val="1"/>
      <w:marLeft w:val="0"/>
      <w:marRight w:val="0"/>
      <w:marTop w:val="0"/>
      <w:marBottom w:val="0"/>
      <w:divBdr>
        <w:top w:val="none" w:sz="0" w:space="0" w:color="auto"/>
        <w:left w:val="none" w:sz="0" w:space="0" w:color="auto"/>
        <w:bottom w:val="none" w:sz="0" w:space="0" w:color="auto"/>
        <w:right w:val="none" w:sz="0" w:space="0" w:color="auto"/>
      </w:divBdr>
      <w:divsChild>
        <w:div w:id="1380085587">
          <w:marLeft w:val="0"/>
          <w:marRight w:val="0"/>
          <w:marTop w:val="120"/>
          <w:marBottom w:val="120"/>
          <w:divBdr>
            <w:top w:val="none" w:sz="0" w:space="0" w:color="auto"/>
            <w:left w:val="none" w:sz="0" w:space="0" w:color="auto"/>
            <w:bottom w:val="none" w:sz="0" w:space="0" w:color="auto"/>
            <w:right w:val="none" w:sz="0" w:space="0" w:color="auto"/>
          </w:divBdr>
        </w:div>
      </w:divsChild>
    </w:div>
    <w:div w:id="1920820627">
      <w:bodyDiv w:val="1"/>
      <w:marLeft w:val="0"/>
      <w:marRight w:val="0"/>
      <w:marTop w:val="0"/>
      <w:marBottom w:val="0"/>
      <w:divBdr>
        <w:top w:val="none" w:sz="0" w:space="0" w:color="auto"/>
        <w:left w:val="none" w:sz="0" w:space="0" w:color="auto"/>
        <w:bottom w:val="none" w:sz="0" w:space="0" w:color="auto"/>
        <w:right w:val="none" w:sz="0" w:space="0" w:color="auto"/>
      </w:divBdr>
      <w:divsChild>
        <w:div w:id="2137720665">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idaillinois.org/digital/collection/isl3/id/12759" TargetMode="External"/><Relationship Id="rId26" Type="http://schemas.openxmlformats.org/officeDocument/2006/relationships/hyperlink" Target="https://research.ebsco.com/linkprocessor/plink?id=319b1692-cf51-3780-870b-6b9971b27e05" TargetMode="External"/><Relationship Id="rId39" Type="http://schemas.openxmlformats.org/officeDocument/2006/relationships/hyperlink" Target="https://doi.org/10.2307/454039" TargetMode="External"/><Relationship Id="rId21" Type="http://schemas.openxmlformats.org/officeDocument/2006/relationships/hyperlink" Target="https://www.loc.gov/item/97515648/" TargetMode="External"/><Relationship Id="rId34" Type="http://schemas.openxmlformats.org/officeDocument/2006/relationships/hyperlink" Target="https://login.proxy048.nclive.org/login?url=https://www.proquest.com/magazines/stake-women-full-postwar-employment/docview/1926466082/se-2" TargetMode="External"/><Relationship Id="rId42" Type="http://schemas.openxmlformats.org/officeDocument/2006/relationships/hyperlink" Target="http://www.jstor.org/stable/27949264" TargetMode="External"/><Relationship Id="rId47" Type="http://schemas.openxmlformats.org/officeDocument/2006/relationships/hyperlink" Target="http://www.jstor.org/stable/25163525" TargetMode="External"/><Relationship Id="rId50" Type="http://schemas.openxmlformats.org/officeDocument/2006/relationships/hyperlink" Target="http://www.jstor.org/stable/2120427"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hyperlink" Target="https://www.loc.gov/item/90707072/" TargetMode="External"/><Relationship Id="rId11" Type="http://schemas.openxmlformats.org/officeDocument/2006/relationships/image" Target="media/image5.png"/><Relationship Id="rId24" Type="http://schemas.openxmlformats.org/officeDocument/2006/relationships/hyperlink" Target="https://www.loc.gov/item/95504753/" TargetMode="External"/><Relationship Id="rId32" Type="http://schemas.openxmlformats.org/officeDocument/2006/relationships/hyperlink" Target="https://nickoprints.com/featured/kamala-harris-as-rosie-the-riveter-on-the-we-can-do-it-famous-ww2-poster-nicko-prints.html?product=art-print" TargetMode="External"/><Relationship Id="rId37" Type="http://schemas.openxmlformats.org/officeDocument/2006/relationships/hyperlink" Target="http://www.jstor.org/stable/25162125" TargetMode="External"/><Relationship Id="rId40" Type="http://schemas.openxmlformats.org/officeDocument/2006/relationships/hyperlink" Target="https://doi.org/10.2307/j.ctvn96hfp" TargetMode="External"/><Relationship Id="rId45" Type="http://schemas.openxmlformats.org/officeDocument/2006/relationships/hyperlink" Target="https://doi.org/10.2307/3518951" TargetMode="External"/><Relationship Id="rId53"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hyperlink" Target="https://research.ebsco.com/linkprocessor/plink?id=2513207f-c3ad-3f95-80fc-4a5f618ca7db" TargetMode="External"/><Relationship Id="rId31" Type="http://schemas.openxmlformats.org/officeDocument/2006/relationships/hyperlink" Target="https://research.ebsco.com/linkprocessor/plink?id=7e91d5af-c8ce-362e-b477-210b5504374f" TargetMode="External"/><Relationship Id="rId44" Type="http://schemas.openxmlformats.org/officeDocument/2006/relationships/hyperlink" Target="http://www.jstor.org/stable/2123119" TargetMode="External"/><Relationship Id="rId52" Type="http://schemas.openxmlformats.org/officeDocument/2006/relationships/hyperlink" Target="https://doi.org/10.2307/117122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loc.gov/item/97515648/" TargetMode="External"/><Relationship Id="rId27" Type="http://schemas.openxmlformats.org/officeDocument/2006/relationships/hyperlink" Target="https://research.ebsco.com/linkprocessor/plink?id=319b1692-cf51-3780-870b-6b9971b27e05" TargetMode="External"/><Relationship Id="rId30" Type="http://schemas.openxmlformats.org/officeDocument/2006/relationships/hyperlink" Target="https://research.ebsco.com/linkprocessor/plink?id=7e91d5af-c8ce-362e-b477-210b5504374f" TargetMode="External"/><Relationship Id="rId35" Type="http://schemas.openxmlformats.org/officeDocument/2006/relationships/hyperlink" Target="https://login.proxy048.nclive.org/login?url=https://www.proquest.com/magazines/stake-women-full-postwar-employment/docview/1926466082/se-2" TargetMode="External"/><Relationship Id="rId43" Type="http://schemas.openxmlformats.org/officeDocument/2006/relationships/hyperlink" Target="http://www.jstor.org/stable/41940102" TargetMode="External"/><Relationship Id="rId48" Type="http://schemas.openxmlformats.org/officeDocument/2006/relationships/hyperlink" Target="https://www.theworldwar.org/learn/about-wwi/service-flag"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doi.org/10.2307/1864376"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www.idaillinois.org/digital/collection/isl3/id/12759" TargetMode="External"/><Relationship Id="rId25" Type="http://schemas.openxmlformats.org/officeDocument/2006/relationships/hyperlink" Target="https://www.loc.gov/item/95504753/" TargetMode="External"/><Relationship Id="rId33" Type="http://schemas.openxmlformats.org/officeDocument/2006/relationships/hyperlink" Target="https://www.loc.gov/pictures/item/90714997/" TargetMode="External"/><Relationship Id="rId38" Type="http://schemas.openxmlformats.org/officeDocument/2006/relationships/hyperlink" Target="https://www.radicalphilosophy.com/article/social-reproduction-theory-2" TargetMode="External"/><Relationship Id="rId46" Type="http://schemas.openxmlformats.org/officeDocument/2006/relationships/hyperlink" Target="https://doi.org/10.2307/3518951" TargetMode="External"/><Relationship Id="rId20" Type="http://schemas.openxmlformats.org/officeDocument/2006/relationships/hyperlink" Target="https://research.ebsco.com/linkprocessor/plink?id=2513207f-c3ad-3f95-80fc-4a5f618ca7db" TargetMode="External"/><Relationship Id="rId41" Type="http://schemas.openxmlformats.org/officeDocument/2006/relationships/hyperlink" Target="http://www.jstor.org/stable/23469739"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umedia.lib.umn.edu/item/p16022coll208:4553" TargetMode="External"/><Relationship Id="rId28" Type="http://schemas.openxmlformats.org/officeDocument/2006/relationships/hyperlink" Target="https://www.loc.gov/item/90707072/" TargetMode="External"/><Relationship Id="rId36" Type="http://schemas.openxmlformats.org/officeDocument/2006/relationships/hyperlink" Target="https://doi.org/10.2307/j.ctt1vz494j" TargetMode="External"/><Relationship Id="rId49" Type="http://schemas.openxmlformats.org/officeDocument/2006/relationships/hyperlink" Target="http://www.jstor.org/stable/j.ctt13x1cs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20B01-CC0D-2246-95B6-7852B1C46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39</Pages>
  <Words>8000</Words>
  <Characters>45762</Characters>
  <Application>Microsoft Office Word</Application>
  <DocSecurity>0</DocSecurity>
  <Lines>789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Drozd, Katherine</dc:creator>
  <cp:keywords/>
  <dc:description/>
  <cp:lastModifiedBy>Drozd, Katherine</cp:lastModifiedBy>
  <cp:revision>3</cp:revision>
  <cp:lastPrinted>2025-12-09T20:53:00Z</cp:lastPrinted>
  <dcterms:created xsi:type="dcterms:W3CDTF">2026-02-25T22:11:00Z</dcterms:created>
  <dcterms:modified xsi:type="dcterms:W3CDTF">2026-02-25T22:44:00Z</dcterms:modified>
</cp:coreProperties>
</file>