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UMAMI AND UNREST: UNPACKING MSG AND RACIAL STEREOTYPES</w:t>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 Yul Lee </w:t>
      </w:r>
    </w:p>
    <w:p w:rsidR="00000000" w:rsidDel="00000000" w:rsidP="00000000" w:rsidRDefault="00000000" w:rsidRPr="00000000" w14:paraId="00000015">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353: Asian American History </w:t>
      </w:r>
    </w:p>
    <w:p w:rsidR="00000000" w:rsidDel="00000000" w:rsidP="00000000" w:rsidRDefault="00000000" w:rsidRPr="00000000" w14:paraId="00000016">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December 11, 2024</w:t>
      </w:r>
    </w:p>
    <w:p w:rsidR="00000000" w:rsidDel="00000000" w:rsidP="00000000" w:rsidRDefault="00000000" w:rsidRPr="00000000" w14:paraId="0000001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48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A">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sz w:val="24"/>
          <w:szCs w:val="24"/>
          <w:rtl w:val="0"/>
        </w:rPr>
        <w:t xml:space="preserve">One of the great challenges of being in a new area is finding reliable and comfortable places to eat.</w:t>
      </w:r>
      <w:r w:rsidDel="00000000" w:rsidR="00000000" w:rsidRPr="00000000">
        <w:rPr>
          <w:rFonts w:ascii="Times New Roman" w:cs="Times New Roman" w:eastAsia="Times New Roman" w:hAnsi="Times New Roman"/>
          <w:sz w:val="24"/>
          <w:szCs w:val="24"/>
          <w:rtl w:val="0"/>
        </w:rPr>
        <w:t xml:space="preserve"> In the modern age, many factors determine how one decides where to eat. Suppose one was looking to try new Chinese restaurants. In that case, they can rely upon recommendations from friends, pictures and reviews from online sources, and the number of stars out of five a random internet stranger has awarded that particular restaurant. But back in the 80s, there was a more sure-fire determining factor that let you know whether eating at a Chinese restaurant was safe: the “no MSG” sign. The absence of this label was seemingly somehow a guarantee that consuming the food would give you a case of debilitating migraines, heart palpitations, and vomit-inducing nausea. Despite its widespread use by American manufacturers, MSG, or monosodium glutamate, was viewed as a poison found solely in Chinese foods. To a certain degree, this belief still persists today. </w:t>
      </w:r>
    </w:p>
    <w:p w:rsidR="00000000" w:rsidDel="00000000" w:rsidP="00000000" w:rsidRDefault="00000000" w:rsidRPr="00000000" w14:paraId="0000001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To understand the MSG discourse, one must understand the roots of Chinese Cuisine in American history. Chinese Cuisine in America has a complex history starting from its arrival, its process of assimilation, and its rise in popularity. In the 20th century, Chinese cuisine gained traction as Chinese immigrants utilized cuisine as a unique occupation by adapting it to match typical American palates. However, there still existed stereotypes that labeled Chinese cuisine as exotic and questionable for consumption. When questions arose around the safety of the flavor enhancer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monosodium glutamate (MSG), the media and the scientific community were quick to use Asian cuisine as a scapegoat, associating the “Chinese Restaurant Syndrome,” a condition in which one displays adverse symptoms to MSG, with the Chinese rather than MSG. In reality, the MSG scare was based on a racialized discourse that used science to reaffirm preexisting racism and negative ideas about the exoticism and unassimilable traits of Chinese Americans.</w:t>
      </w:r>
    </w:p>
    <w:p w:rsidR="00000000" w:rsidDel="00000000" w:rsidP="00000000" w:rsidRDefault="00000000" w:rsidRPr="00000000" w14:paraId="0000001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Chinese cuisine first arrived in America with Chinese immigrants during the 19th-century gold rush. However, the Chinese restaurant business failed to proliferate due to existing racial stereotyping of Chinese cuisine and the anti-Chinese sentiment that peaked in the late 19th century. Between 1882 and 1904, several Chinese exclusion laws were passed and Asians in America experienced great hostility. Asians were often stereotyped as inferior, exotic, and unassimilable. Such racial stereotyping tainted Americans’ perception of Chinese cuisine. For example, rice, a staple in Chinese cuisine, was viewed as a symbol of inferiority. In 1902, Samuel Gompers, the founder of the American Federation of Labor, published an anti-Chinese pamphlet titled </w:t>
      </w:r>
      <w:r w:rsidDel="00000000" w:rsidR="00000000" w:rsidRPr="00000000">
        <w:rPr>
          <w:rFonts w:ascii="Times New Roman" w:cs="Times New Roman" w:eastAsia="Times New Roman" w:hAnsi="Times New Roman"/>
          <w:i w:val="1"/>
          <w:sz w:val="24"/>
          <w:szCs w:val="24"/>
          <w:rtl w:val="0"/>
        </w:rPr>
        <w:t xml:space="preserve">Meat Vs. Rice: American Manhood Against Asiatic Coolieism, Which Shall Survive?</w:t>
      </w:r>
      <w:r w:rsidDel="00000000" w:rsidR="00000000" w:rsidRPr="00000000">
        <w:rPr>
          <w:rFonts w:ascii="Times New Roman" w:cs="Times New Roman" w:eastAsia="Times New Roman" w:hAnsi="Times New Roman"/>
          <w:sz w:val="24"/>
          <w:szCs w:val="24"/>
          <w:rtl w:val="0"/>
        </w:rPr>
        <w:t xml:space="preserve"> It featured quotes from American politicians like James G. Blaine who joined the anti-Chinese campaign. In the pamphlet, Blaine presents the Chinese immigrants as a threat to American labor and the white race by attacking their food culture.</w:t>
      </w:r>
    </w:p>
    <w:p w:rsidR="00000000" w:rsidDel="00000000" w:rsidP="00000000" w:rsidRDefault="00000000" w:rsidRPr="00000000" w14:paraId="0000001D">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demoralization of the white race is much more rapid by reason of the contact than is the salvation of the Chinese race. You cannot work a man who must have beef and bread </w:t>
      </w:r>
      <w:r w:rsidDel="00000000" w:rsidR="00000000" w:rsidRPr="00000000">
        <w:rPr>
          <w:rFonts w:ascii="Times New Roman" w:cs="Times New Roman" w:eastAsia="Times New Roman" w:hAnsi="Times New Roman"/>
          <w:sz w:val="24"/>
          <w:szCs w:val="24"/>
          <w:rtl w:val="0"/>
        </w:rPr>
        <w:t xml:space="preserve">alongside of a</w:t>
      </w:r>
      <w:r w:rsidDel="00000000" w:rsidR="00000000" w:rsidRPr="00000000">
        <w:rPr>
          <w:rFonts w:ascii="Times New Roman" w:cs="Times New Roman" w:eastAsia="Times New Roman" w:hAnsi="Times New Roman"/>
          <w:sz w:val="24"/>
          <w:szCs w:val="24"/>
          <w:rtl w:val="0"/>
        </w:rPr>
        <w:t xml:space="preserve"> man who can live on rice. In all such conflicts, and in all such struggles, the result is not to bring up the man who lives on rice to the beef-and-bread standard, but it is to bring down the beef-and-bread man to the rice standard.</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1E">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evident in the quote, rice symbolizes the inferior Chinese identity in racial rhetoric. White America’s consumption of meat was deemed superior to rice. Proponents of anti-Chinese rhetoric used food as a tool to reinforce a white supremacy ideology. The racist portrayal of the Chinese subsequently led to stereotyping and judging of the Chinese diet based on racial criteria rather than culinary standards.  </w:t>
      </w:r>
    </w:p>
    <w:p w:rsidR="00000000" w:rsidDel="00000000" w:rsidP="00000000" w:rsidRDefault="00000000" w:rsidRPr="00000000" w14:paraId="0000002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There were other factors contributing to the myth of Chinese inferiority. The Chinese have long been racially profiled as rat-eaters. As early as 1853, the </w:t>
      </w:r>
      <w:r w:rsidDel="00000000" w:rsidR="00000000" w:rsidRPr="00000000">
        <w:rPr>
          <w:rFonts w:ascii="Times New Roman" w:cs="Times New Roman" w:eastAsia="Times New Roman" w:hAnsi="Times New Roman"/>
          <w:i w:val="1"/>
          <w:sz w:val="24"/>
          <w:szCs w:val="24"/>
          <w:rtl w:val="0"/>
        </w:rPr>
        <w:t xml:space="preserve">Daily Alta California</w:t>
      </w:r>
      <w:r w:rsidDel="00000000" w:rsidR="00000000" w:rsidRPr="00000000">
        <w:rPr>
          <w:rFonts w:ascii="Times New Roman" w:cs="Times New Roman" w:eastAsia="Times New Roman" w:hAnsi="Times New Roman"/>
          <w:sz w:val="24"/>
          <w:szCs w:val="24"/>
          <w:rtl w:val="0"/>
        </w:rPr>
        <w:t xml:space="preserve"> stated: </w:t>
      </w:r>
    </w:p>
    <w:p w:rsidR="00000000" w:rsidDel="00000000" w:rsidP="00000000" w:rsidRDefault="00000000" w:rsidRPr="00000000" w14:paraId="00000021">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there is one class of nasty foreigners… more ill-favored, unfortunate, and forlorn among us, than another, it certainly must be the Chinese…Rats, lizards, mud-terrapins, rank and indigestible shellfish, and such small deer, have been and continue to be, the food of the “no ways partickler” Celestial, where flour, beef and bacon, and other fare suitable to the stomachs of “white folk” abound. It is not to be wondered at, therefore, that the habits of the Chinese in California should excite ineffable disgust, and turn the stomachs of the stoutest Anglo-Saxon.</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tl w:val="0"/>
        </w:rPr>
      </w:r>
    </w:p>
    <w:p w:rsidR="00000000" w:rsidDel="00000000" w:rsidP="00000000" w:rsidRDefault="00000000" w:rsidRPr="00000000" w14:paraId="00000022">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article depicts the “nasty” eating habits of Chinese cuisine by pointing to its use of rats, lizards, and other ingredients atypical in Western cuisine. However, the article was a highly inaccurate description of the pioneer Chinese food in California.  In truth, what excited “ineffable disgust” and turned the stomachs of the Anglo-Saxons was the increasing number of Chinese immigrants entering the mining fields during the Gold Rush.</w:t>
      </w:r>
      <w:r w:rsidDel="00000000" w:rsidR="00000000" w:rsidRPr="00000000">
        <w:rPr>
          <w:rFonts w:ascii="Times New Roman" w:cs="Times New Roman" w:eastAsia="Times New Roman" w:hAnsi="Times New Roman"/>
          <w:sz w:val="24"/>
          <w:szCs w:val="24"/>
          <w:vertAlign w:val="superscript"/>
        </w:rPr>
        <w:footnoteReference w:customMarkFollows="0" w:id="2"/>
      </w:r>
      <w:r w:rsidDel="00000000" w:rsidR="00000000" w:rsidRPr="00000000">
        <w:rPr>
          <w:rFonts w:ascii="Times New Roman" w:cs="Times New Roman" w:eastAsia="Times New Roman" w:hAnsi="Times New Roman"/>
          <w:sz w:val="24"/>
          <w:szCs w:val="24"/>
          <w:rtl w:val="0"/>
        </w:rPr>
        <w:t xml:space="preserve"> The image of the Chinese as rat-eaters was persistently used in anti-Chinese racist propaganda and commercials. For example, “Rough on Rats” was an advertisement promoting a pest-control product. By depicting a Chinese man with his mouth open and ready to eat a rat, the advertising poster “personified the product in the Chinese man being an effective rodent exterminator.”</w:t>
      </w:r>
      <w:r w:rsidDel="00000000" w:rsidR="00000000" w:rsidRPr="00000000">
        <w:rPr>
          <w:rFonts w:ascii="Times New Roman" w:cs="Times New Roman" w:eastAsia="Times New Roman" w:hAnsi="Times New Roman"/>
          <w:sz w:val="24"/>
          <w:szCs w:val="24"/>
          <w:vertAlign w:val="superscript"/>
        </w:rPr>
        <w:footnoteReference w:customMarkFollows="0" w:id="3"/>
      </w:r>
      <w:r w:rsidDel="00000000" w:rsidR="00000000" w:rsidRPr="00000000">
        <w:rPr>
          <w:rFonts w:ascii="Times New Roman" w:cs="Times New Roman" w:eastAsia="Times New Roman" w:hAnsi="Times New Roman"/>
          <w:sz w:val="24"/>
          <w:szCs w:val="24"/>
          <w:rtl w:val="0"/>
        </w:rPr>
        <w:t xml:space="preserve"> The slogan on the poster “They must go” seemingly applies to both the rats and the Chinese. By degrading Chinese food culture to nothing but disgusting rat-eating, the racist propaganda perpetually reinforced the myth of Chinese barbarism. </w:t>
      </w:r>
    </w:p>
    <w:p w:rsidR="00000000" w:rsidDel="00000000" w:rsidP="00000000" w:rsidRDefault="00000000" w:rsidRPr="00000000" w14:paraId="00000024">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Despite the prevalent anti-Chinese sentiment, Chinese food rose in popularity during the 1900s. The rise of Chinese food’s popularity is largely attributed to the rise of inauthentic Chinese food that was catered to American palates, the most notable being chop suey. In “Chop Suey as Imagined Authentic Chinese Food: The Culinary Identity of Chinese Restaurants in the United States” Haiming Liu writes that the American idea of chop suey is, “a dish in which chicken or pork was chopped into fine, delicate pieces.”</w:t>
      </w:r>
      <w:r w:rsidDel="00000000" w:rsidR="00000000" w:rsidRPr="00000000">
        <w:rPr>
          <w:rFonts w:ascii="Times New Roman" w:cs="Times New Roman" w:eastAsia="Times New Roman" w:hAnsi="Times New Roman"/>
          <w:sz w:val="24"/>
          <w:szCs w:val="24"/>
          <w:vertAlign w:val="superscript"/>
        </w:rPr>
        <w:footnoteReference w:customMarkFollows="0" w:id="4"/>
      </w:r>
      <w:r w:rsidDel="00000000" w:rsidR="00000000" w:rsidRPr="00000000">
        <w:rPr>
          <w:rFonts w:ascii="Times New Roman" w:cs="Times New Roman" w:eastAsia="Times New Roman" w:hAnsi="Times New Roman"/>
          <w:sz w:val="24"/>
          <w:szCs w:val="24"/>
          <w:rtl w:val="0"/>
        </w:rPr>
        <w:t xml:space="preserve"> The authentic version of this dish is “chow suey,” a dish with various meat intestines stir-fried with sauce and served atop a choice of grain. Liu describes chop suey houses, as the Chinese-American restaurants were called, as an entrepreneurial attempt of Chinese Americans to create an “occupational niche” for themselves during times of Chinese exclusion.</w:t>
      </w:r>
      <w:r w:rsidDel="00000000" w:rsidR="00000000" w:rsidRPr="00000000">
        <w:rPr>
          <w:rFonts w:ascii="Times New Roman" w:cs="Times New Roman" w:eastAsia="Times New Roman" w:hAnsi="Times New Roman"/>
          <w:sz w:val="24"/>
          <w:szCs w:val="24"/>
          <w:vertAlign w:val="superscript"/>
        </w:rPr>
        <w:footnoteReference w:customMarkFollows="0" w:id="5"/>
      </w:r>
      <w:r w:rsidDel="00000000" w:rsidR="00000000" w:rsidRPr="00000000">
        <w:rPr>
          <w:rFonts w:ascii="Times New Roman" w:cs="Times New Roman" w:eastAsia="Times New Roman" w:hAnsi="Times New Roman"/>
          <w:sz w:val="24"/>
          <w:szCs w:val="24"/>
          <w:rtl w:val="0"/>
        </w:rPr>
        <w:t xml:space="preserve"> Even in times of great hostility against Asian immigrants, chop suey houses attracted young White middle-class consumers in particular by offering “Oriental” and “exotic” experiences at a cheap cost.  </w:t>
      </w:r>
    </w:p>
    <w:p w:rsidR="00000000" w:rsidDel="00000000" w:rsidP="00000000" w:rsidRDefault="00000000" w:rsidRPr="00000000" w14:paraId="0000002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Chinese cuisine proliferated in America, the flavor enhancer MSG also began rising in popularity. In 1908, Japanese chemist Kikunae Ikeda first produced MSG, which generated a savory taste. He later named this distinct taste </w:t>
      </w:r>
      <w:r w:rsidDel="00000000" w:rsidR="00000000" w:rsidRPr="00000000">
        <w:rPr>
          <w:rFonts w:ascii="Times New Roman" w:cs="Times New Roman" w:eastAsia="Times New Roman" w:hAnsi="Times New Roman"/>
          <w:i w:val="1"/>
          <w:sz w:val="24"/>
          <w:szCs w:val="24"/>
          <w:rtl w:val="0"/>
        </w:rPr>
        <w:t xml:space="preserve">umami</w:t>
      </w:r>
      <w:r w:rsidDel="00000000" w:rsidR="00000000" w:rsidRPr="00000000">
        <w:rPr>
          <w:rFonts w:ascii="Times New Roman" w:cs="Times New Roman" w:eastAsia="Times New Roman" w:hAnsi="Times New Roman"/>
          <w:sz w:val="24"/>
          <w:szCs w:val="24"/>
          <w:rtl w:val="0"/>
        </w:rPr>
        <w:t xml:space="preserve">, “a term derived from the colloquial masculine word in Japanese meaning ‘tasty.’”</w:t>
      </w:r>
      <w:r w:rsidDel="00000000" w:rsidR="00000000" w:rsidRPr="00000000">
        <w:rPr>
          <w:rFonts w:ascii="Times New Roman" w:cs="Times New Roman" w:eastAsia="Times New Roman" w:hAnsi="Times New Roman"/>
          <w:sz w:val="24"/>
          <w:szCs w:val="24"/>
          <w:vertAlign w:val="superscript"/>
        </w:rPr>
        <w:footnoteReference w:customMarkFollows="0" w:id="6"/>
      </w:r>
      <w:r w:rsidDel="00000000" w:rsidR="00000000" w:rsidRPr="00000000">
        <w:rPr>
          <w:rFonts w:ascii="Times New Roman" w:cs="Times New Roman" w:eastAsia="Times New Roman" w:hAnsi="Times New Roman"/>
          <w:sz w:val="24"/>
          <w:szCs w:val="24"/>
          <w:rtl w:val="0"/>
        </w:rPr>
        <w:t xml:space="preserve"> In 1909, MSG was marketed under the brand name Ajinomoto. Despite its initial difficulty attracting customers, Ajinomoto saw increased sales after marketing towards housewives and advertising the MSG as a necessary addition to their kitchens.</w:t>
      </w:r>
      <w:r w:rsidDel="00000000" w:rsidR="00000000" w:rsidRPr="00000000">
        <w:rPr>
          <w:rFonts w:ascii="Times New Roman" w:cs="Times New Roman" w:eastAsia="Times New Roman" w:hAnsi="Times New Roman"/>
          <w:sz w:val="24"/>
          <w:szCs w:val="24"/>
          <w:vertAlign w:val="superscript"/>
        </w:rPr>
        <w:footnoteReference w:customMarkFollows="0" w:id="7"/>
      </w:r>
      <w:r w:rsidDel="00000000" w:rsidR="00000000" w:rsidRPr="00000000">
        <w:rPr>
          <w:rFonts w:ascii="Times New Roman" w:cs="Times New Roman" w:eastAsia="Times New Roman" w:hAnsi="Times New Roman"/>
          <w:sz w:val="24"/>
          <w:szCs w:val="24"/>
          <w:rtl w:val="0"/>
        </w:rPr>
        <w:t xml:space="preserve"> Ajinomoto also directly appealed to higher-status women with higher education, who were being trained to manage elite households. With the company's efforts to promote the product, Ajinomoto became a nationwide household brand in a matter of decades. For instance, domestic management Japanese textbooks, such as </w:t>
      </w:r>
      <w:r w:rsidDel="00000000" w:rsidR="00000000" w:rsidRPr="00000000">
        <w:rPr>
          <w:rFonts w:ascii="Times New Roman" w:cs="Times New Roman" w:eastAsia="Times New Roman" w:hAnsi="Times New Roman"/>
          <w:i w:val="1"/>
          <w:sz w:val="24"/>
          <w:szCs w:val="24"/>
          <w:rtl w:val="0"/>
        </w:rPr>
        <w:t xml:space="preserve">Jitchi oyo kaji kyôkasho</w:t>
      </w:r>
      <w:r w:rsidDel="00000000" w:rsidR="00000000" w:rsidRPr="00000000">
        <w:rPr>
          <w:rFonts w:ascii="Times New Roman" w:cs="Times New Roman" w:eastAsia="Times New Roman" w:hAnsi="Times New Roman"/>
          <w:sz w:val="24"/>
          <w:szCs w:val="24"/>
          <w:rtl w:val="0"/>
        </w:rPr>
        <w:t xml:space="preserve"> [Practical Domestic Management Textbook] by Yoshimura Chizu began presenting Ajinomoto as a substitute for kelp and bonito flakes used in making traditional Japanese soup stock, or Dashi.</w:t>
      </w:r>
      <w:r w:rsidDel="00000000" w:rsidR="00000000" w:rsidRPr="00000000">
        <w:rPr>
          <w:rFonts w:ascii="Times New Roman" w:cs="Times New Roman" w:eastAsia="Times New Roman" w:hAnsi="Times New Roman"/>
          <w:sz w:val="24"/>
          <w:szCs w:val="24"/>
          <w:vertAlign w:val="superscript"/>
        </w:rPr>
        <w:footnoteReference w:customMarkFollows="0" w:id="8"/>
      </w:r>
      <w:r w:rsidDel="00000000" w:rsidR="00000000" w:rsidRPr="00000000">
        <w:rPr>
          <w:rFonts w:ascii="Times New Roman" w:cs="Times New Roman" w:eastAsia="Times New Roman" w:hAnsi="Times New Roman"/>
          <w:sz w:val="24"/>
          <w:szCs w:val="24"/>
          <w:rtl w:val="0"/>
        </w:rPr>
        <w:t xml:space="preserve"> By the 1930s, the flavor enhancer had made its way to the United States. MSG initially reached Americans’ palates through Chinese Restaurants, which were charming white American patrons at the time by serving inauthentic Chinese-American food. In addition to Chinese restaurants, there was another outlet in which MSG was making its way to American diet: factory-processed foods. From the mid-1930s until 1941, the United States was the primary purchaser of Ajinomoto, exceeding Taiwan and Japan. This was due to the food manufacturing companies like the Campbell’s Soup Company.</w:t>
      </w:r>
      <w:r w:rsidDel="00000000" w:rsidR="00000000" w:rsidRPr="00000000">
        <w:rPr>
          <w:rFonts w:ascii="Times New Roman" w:cs="Times New Roman" w:eastAsia="Times New Roman" w:hAnsi="Times New Roman"/>
          <w:sz w:val="24"/>
          <w:szCs w:val="24"/>
          <w:vertAlign w:val="superscript"/>
        </w:rPr>
        <w:footnoteReference w:customMarkFollows="0" w:id="9"/>
      </w:r>
      <w:r w:rsidDel="00000000" w:rsidR="00000000" w:rsidRPr="00000000">
        <w:rPr>
          <w:rFonts w:ascii="Times New Roman" w:cs="Times New Roman" w:eastAsia="Times New Roman" w:hAnsi="Times New Roman"/>
          <w:sz w:val="24"/>
          <w:szCs w:val="24"/>
          <w:rtl w:val="0"/>
        </w:rPr>
        <w:t xml:space="preserve"> When Ajinomoto equivalents– like the Ac’cent that packaged pure MSG for home cooking–hit the supermarkets, American consumption of MSG surged.</w:t>
      </w:r>
      <w:r w:rsidDel="00000000" w:rsidR="00000000" w:rsidRPr="00000000">
        <w:rPr>
          <w:rFonts w:ascii="Times New Roman" w:cs="Times New Roman" w:eastAsia="Times New Roman" w:hAnsi="Times New Roman"/>
          <w:sz w:val="24"/>
          <w:szCs w:val="24"/>
          <w:vertAlign w:val="superscript"/>
        </w:rPr>
        <w:footnoteReference w:customMarkFollows="0" w:id="10"/>
      </w:r>
      <w:r w:rsidDel="00000000" w:rsidR="00000000" w:rsidRPr="00000000">
        <w:rPr>
          <w:rFonts w:ascii="Times New Roman" w:cs="Times New Roman" w:eastAsia="Times New Roman" w:hAnsi="Times New Roman"/>
          <w:sz w:val="24"/>
          <w:szCs w:val="24"/>
          <w:rtl w:val="0"/>
        </w:rPr>
        <w:t xml:space="preserve"> Despite the flavor enhancer’s impending downfall in the coming decades, Americans were consuming MSG in mass quantities ranging from home-cooked meals to chop suey. </w:t>
      </w:r>
    </w:p>
    <w:p w:rsidR="00000000" w:rsidDel="00000000" w:rsidP="00000000" w:rsidRDefault="00000000" w:rsidRPr="00000000" w14:paraId="0000002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proliferation of MSG would not last: its fate forever changed with one short letter written in 1968 by Dr. Ho Man Kwok to the editors of the </w:t>
      </w:r>
      <w:r w:rsidDel="00000000" w:rsidR="00000000" w:rsidRPr="00000000">
        <w:rPr>
          <w:rFonts w:ascii="Times New Roman" w:cs="Times New Roman" w:eastAsia="Times New Roman" w:hAnsi="Times New Roman"/>
          <w:i w:val="1"/>
          <w:sz w:val="24"/>
          <w:szCs w:val="24"/>
          <w:rtl w:val="0"/>
        </w:rPr>
        <w:t xml:space="preserve">New England Journal of Medicine</w:t>
      </w:r>
      <w:r w:rsidDel="00000000" w:rsidR="00000000" w:rsidRPr="00000000">
        <w:rPr>
          <w:rFonts w:ascii="Times New Roman" w:cs="Times New Roman" w:eastAsia="Times New Roman" w:hAnsi="Times New Roman"/>
          <w:sz w:val="24"/>
          <w:szCs w:val="24"/>
          <w:rtl w:val="0"/>
        </w:rPr>
        <w:t xml:space="preserve"> (NEJM) titled “Chinese Restaurant Syndrome.” In the letter, Dr. Kwok explained the unpleasant symptoms that he and his colleagues experienced after eating at Chinese-American restaurants. He reported symptoms of, “numbness at the back of the neck, gradually radiating to both arms and the back, general weakness and palpitation.”</w:t>
      </w:r>
      <w:r w:rsidDel="00000000" w:rsidR="00000000" w:rsidRPr="00000000">
        <w:rPr>
          <w:rFonts w:ascii="Times New Roman" w:cs="Times New Roman" w:eastAsia="Times New Roman" w:hAnsi="Times New Roman"/>
          <w:sz w:val="24"/>
          <w:szCs w:val="24"/>
          <w:vertAlign w:val="superscript"/>
        </w:rPr>
        <w:footnoteReference w:customMarkFollows="0" w:id="11"/>
      </w:r>
      <w:r w:rsidDel="00000000" w:rsidR="00000000" w:rsidRPr="00000000">
        <w:rPr>
          <w:rFonts w:ascii="Times New Roman" w:cs="Times New Roman" w:eastAsia="Times New Roman" w:hAnsi="Times New Roman"/>
          <w:sz w:val="24"/>
          <w:szCs w:val="24"/>
          <w:rtl w:val="0"/>
        </w:rPr>
        <w:t xml:space="preserve"> He speculated on a few possible suspected causes, one being the use of MSG, and sought the opinions of doctors with expertise on the subject. Kwok’s letter initiated a series of letters to the NEJM reporting health effects attributed to Chinese Restaurants including “a most uncomfortable tightness on both sides of the head” and an intense “Chinese Headache,” which the reader described as “a pounding throbbing sensation in the head.”</w:t>
      </w:r>
      <w:r w:rsidDel="00000000" w:rsidR="00000000" w:rsidRPr="00000000">
        <w:rPr>
          <w:rFonts w:ascii="Times New Roman" w:cs="Times New Roman" w:eastAsia="Times New Roman" w:hAnsi="Times New Roman"/>
          <w:sz w:val="24"/>
          <w:szCs w:val="24"/>
          <w:vertAlign w:val="superscript"/>
        </w:rPr>
        <w:footnoteReference w:customMarkFollows="0" w:id="12"/>
      </w:r>
      <w:r w:rsidDel="00000000" w:rsidR="00000000" w:rsidRPr="00000000">
        <w:rPr>
          <w:rFonts w:ascii="Times New Roman" w:cs="Times New Roman" w:eastAsia="Times New Roman" w:hAnsi="Times New Roman"/>
          <w:sz w:val="24"/>
          <w:szCs w:val="24"/>
          <w:rtl w:val="0"/>
        </w:rPr>
        <w:t xml:space="preserve"> Much like the ever-growing symptoms of Chinese Restaurant Syndrome, many speculated the causes and the context of the syndrome in a broad Oriental context: some reported experiencing symptoms after eating at Polynesian or Japanese restaurants. One letter to the NEJM reported symptoms “not only after taking Chinese soup or Japanese Teriyaki, but also, alas, after eating matzoh ball and split pea soups in a Kosher delicatessen”.</w:t>
      </w:r>
      <w:r w:rsidDel="00000000" w:rsidR="00000000" w:rsidRPr="00000000">
        <w:rPr>
          <w:rFonts w:ascii="Times New Roman" w:cs="Times New Roman" w:eastAsia="Times New Roman" w:hAnsi="Times New Roman"/>
          <w:sz w:val="24"/>
          <w:szCs w:val="24"/>
          <w:vertAlign w:val="superscript"/>
        </w:rPr>
        <w:footnoteReference w:customMarkFollows="0" w:id="13"/>
      </w:r>
      <w:r w:rsidDel="00000000" w:rsidR="00000000" w:rsidRPr="00000000">
        <w:rPr>
          <w:rFonts w:ascii="Times New Roman" w:cs="Times New Roman" w:eastAsia="Times New Roman" w:hAnsi="Times New Roman"/>
          <w:sz w:val="24"/>
          <w:szCs w:val="24"/>
          <w:rtl w:val="0"/>
        </w:rPr>
        <w:t xml:space="preserve"> Amusingly, the Chinese Restaurant Syndrome was only reported in the context of consuming Asiatic cuisine even before scientists determined its etiology. Regardless of the questionable circumstances, several scientists attempted to explain the syndrome and eventually marked MSG as the culprit. </w:t>
      </w:r>
    </w:p>
    <w:p w:rsidR="00000000" w:rsidDel="00000000" w:rsidP="00000000" w:rsidRDefault="00000000" w:rsidRPr="00000000" w14:paraId="0000002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mid-1900s, the issue of food safety and regulation was surfacing. The concerns over the safety of food additives and chemicals became especially prominent. The Food and Drug Administration (FDA) established The Food Additives Amendment of 1958 which established stricter regulations for food additives. In 1970, the FDA banned cyclamate, an artificial sweetener, after scientists warned about its possible carcinogenic effects.</w:t>
      </w:r>
      <w:r w:rsidDel="00000000" w:rsidR="00000000" w:rsidRPr="00000000">
        <w:rPr>
          <w:rFonts w:ascii="Times New Roman" w:cs="Times New Roman" w:eastAsia="Times New Roman" w:hAnsi="Times New Roman"/>
          <w:sz w:val="24"/>
          <w:szCs w:val="24"/>
          <w:vertAlign w:val="superscript"/>
        </w:rPr>
        <w:footnoteReference w:customMarkFollows="0" w:id="14"/>
      </w:r>
      <w:r w:rsidDel="00000000" w:rsidR="00000000" w:rsidRPr="00000000">
        <w:rPr>
          <w:rFonts w:ascii="Times New Roman" w:cs="Times New Roman" w:eastAsia="Times New Roman" w:hAnsi="Times New Roman"/>
          <w:sz w:val="24"/>
          <w:szCs w:val="24"/>
          <w:rtl w:val="0"/>
        </w:rPr>
        <w:t xml:space="preserve"> Knowing this industry climate, it is not surprising that MSG became targeted as the cause of the novel syndrome. In 1969, John W. Olney, a medical doctor and a professor at the Washington University School of Medicine, published a science article titled  </w:t>
      </w:r>
      <w:r w:rsidDel="00000000" w:rsidR="00000000" w:rsidRPr="00000000">
        <w:rPr>
          <w:rFonts w:ascii="Times New Roman" w:cs="Times New Roman" w:eastAsia="Times New Roman" w:hAnsi="Times New Roman"/>
          <w:i w:val="1"/>
          <w:sz w:val="24"/>
          <w:szCs w:val="24"/>
          <w:rtl w:val="0"/>
        </w:rPr>
        <w:t xml:space="preserve">Brain Lesions, Obesity, and Other Disturbances in Mice Treated with Monosodium Glutamate</w:t>
      </w:r>
      <w:r w:rsidDel="00000000" w:rsidR="00000000" w:rsidRPr="00000000">
        <w:rPr>
          <w:rFonts w:ascii="Times New Roman" w:cs="Times New Roman" w:eastAsia="Times New Roman" w:hAnsi="Times New Roman"/>
          <w:sz w:val="24"/>
          <w:szCs w:val="24"/>
          <w:rtl w:val="0"/>
        </w:rPr>
        <w:t xml:space="preserve">. In the experiment, he injected mice with monosodium glutamate and observed its effects. With his results, he suggested that Monosodium glutamate resulted in brain lesions as well as other disturbances in mice, questioned the safety of the substance, and speculated possible risks in the “developing human nervous system by maternal use of MSG during pregnancy.”</w:t>
      </w:r>
      <w:r w:rsidDel="00000000" w:rsidR="00000000" w:rsidRPr="00000000">
        <w:rPr>
          <w:rFonts w:ascii="Times New Roman" w:cs="Times New Roman" w:eastAsia="Times New Roman" w:hAnsi="Times New Roman"/>
          <w:sz w:val="24"/>
          <w:szCs w:val="24"/>
          <w:vertAlign w:val="superscript"/>
        </w:rPr>
        <w:footnoteReference w:customMarkFollows="0" w:id="15"/>
      </w:r>
      <w:r w:rsidDel="00000000" w:rsidR="00000000" w:rsidRPr="00000000">
        <w:rPr>
          <w:rFonts w:ascii="Times New Roman" w:cs="Times New Roman" w:eastAsia="Times New Roman" w:hAnsi="Times New Roman"/>
          <w:sz w:val="24"/>
          <w:szCs w:val="24"/>
          <w:rtl w:val="0"/>
        </w:rPr>
        <w:t xml:space="preserve"> Media outlets such as the </w:t>
      </w:r>
      <w:r w:rsidDel="00000000" w:rsidR="00000000" w:rsidRPr="00000000">
        <w:rPr>
          <w:rFonts w:ascii="Times New Roman" w:cs="Times New Roman" w:eastAsia="Times New Roman" w:hAnsi="Times New Roman"/>
          <w:i w:val="1"/>
          <w:sz w:val="24"/>
          <w:szCs w:val="24"/>
          <w:rtl w:val="0"/>
        </w:rPr>
        <w:t xml:space="preserve">New York Times</w:t>
      </w:r>
      <w:r w:rsidDel="00000000" w:rsidR="00000000" w:rsidRPr="00000000">
        <w:rPr>
          <w:rFonts w:ascii="Times New Roman" w:cs="Times New Roman" w:eastAsia="Times New Roman" w:hAnsi="Times New Roman"/>
          <w:sz w:val="24"/>
          <w:szCs w:val="24"/>
          <w:rtl w:val="0"/>
        </w:rPr>
        <w:t xml:space="preserve"> reported on these findings and the concerns over the Chinese Restaurant Syndrome. Based on Olney’s findings, Jean Mayer, the chair of the White House Conference on Food, Nutrition, and Health, suggested banning MSG in baby foods.</w:t>
      </w:r>
      <w:r w:rsidDel="00000000" w:rsidR="00000000" w:rsidRPr="00000000">
        <w:rPr>
          <w:rFonts w:ascii="Times New Roman" w:cs="Times New Roman" w:eastAsia="Times New Roman" w:hAnsi="Times New Roman"/>
          <w:sz w:val="24"/>
          <w:szCs w:val="24"/>
          <w:vertAlign w:val="superscript"/>
        </w:rPr>
        <w:footnoteReference w:customMarkFollows="0" w:id="16"/>
      </w:r>
      <w:r w:rsidDel="00000000" w:rsidR="00000000" w:rsidRPr="00000000">
        <w:rPr>
          <w:rFonts w:ascii="Times New Roman" w:cs="Times New Roman" w:eastAsia="Times New Roman" w:hAnsi="Times New Roman"/>
          <w:sz w:val="24"/>
          <w:szCs w:val="24"/>
          <w:rtl w:val="0"/>
        </w:rPr>
        <w:t xml:space="preserve"> Despite Olney and Mayer’s advocacy, MSG was never banned or subjected to further regulation. </w:t>
      </w:r>
    </w:p>
    <w:p w:rsidR="00000000" w:rsidDel="00000000" w:rsidP="00000000" w:rsidRDefault="00000000" w:rsidRPr="00000000" w14:paraId="0000002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truth, Olney’s experiment was greatly flawed. He injected MSG directly into the mice, not considering that injecting even harmless fluids like saline could still crush or damage the vulnerable organs of mice. It is also notable that humans would not use MSG for injection use. Additionally, the amount of MSG Olney injected was excessive. It was “the equivalent of an adult human eating a whole pound of MSG in one sitting.”</w:t>
      </w:r>
      <w:r w:rsidDel="00000000" w:rsidR="00000000" w:rsidRPr="00000000">
        <w:rPr>
          <w:rFonts w:ascii="Times New Roman" w:cs="Times New Roman" w:eastAsia="Times New Roman" w:hAnsi="Times New Roman"/>
          <w:sz w:val="24"/>
          <w:szCs w:val="24"/>
          <w:vertAlign w:val="superscript"/>
        </w:rPr>
        <w:footnoteReference w:customMarkFollows="0" w:id="17"/>
      </w:r>
      <w:r w:rsidDel="00000000" w:rsidR="00000000" w:rsidRPr="00000000">
        <w:rPr>
          <w:rFonts w:ascii="Times New Roman" w:cs="Times New Roman" w:eastAsia="Times New Roman" w:hAnsi="Times New Roman"/>
          <w:sz w:val="24"/>
          <w:szCs w:val="24"/>
          <w:rtl w:val="0"/>
        </w:rPr>
        <w:t xml:space="preserve"> All of this is to say that the experiment was questionable and not sufficient enough to raise questions about MSG’s safety for human consumption. In the coming years, many physiologists countered the previous findings that deemed MSG unsafe. Regardless, the Chinese Restaurant Syndrome and the controversy surrounding MSG have damaged its reputation irreparably. It’s unknown whether Olney’s experiment was flawed experimental design overlooked or racialized stereotyping with ill-intent. One cannot assume by correlation that Olney’s own assumptions were informed by racist preconceived notions. Nevertheless, the experiment created the groundwork for the MSG discourse in which bad science was used to reaffirm racial stereotypes. </w:t>
      </w:r>
    </w:p>
    <w:p w:rsidR="00000000" w:rsidDel="00000000" w:rsidP="00000000" w:rsidRDefault="00000000" w:rsidRPr="00000000" w14:paraId="0000002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Media outlets were quick to report the findings in the scientific literature and offered explanations on why MSG in Chinese foods more likely caused adverse reactions than when used in other foods: Chinese cooks utilized MSG “freely,” “liberally,” and “lavishly” in “large” and “generous” amounts.</w:t>
      </w:r>
      <w:r w:rsidDel="00000000" w:rsidR="00000000" w:rsidRPr="00000000">
        <w:rPr>
          <w:rFonts w:ascii="Times New Roman" w:cs="Times New Roman" w:eastAsia="Times New Roman" w:hAnsi="Times New Roman"/>
          <w:sz w:val="24"/>
          <w:szCs w:val="24"/>
          <w:vertAlign w:val="superscript"/>
        </w:rPr>
        <w:footnoteReference w:customMarkFollows="0" w:id="18"/>
      </w:r>
      <w:r w:rsidDel="00000000" w:rsidR="00000000" w:rsidRPr="00000000">
        <w:rPr>
          <w:rFonts w:ascii="Times New Roman" w:cs="Times New Roman" w:eastAsia="Times New Roman" w:hAnsi="Times New Roman"/>
          <w:sz w:val="24"/>
          <w:szCs w:val="24"/>
          <w:rtl w:val="0"/>
        </w:rPr>
        <w:t xml:space="preserve"> On November 12, 1969, the New York City Health Department “ordered Chinese restaurants to use MSG… sparingly when preparing food,” reporting that “two pounds of MSG had been added to 1,500 egg rolls.”</w:t>
      </w:r>
      <w:r w:rsidDel="00000000" w:rsidR="00000000" w:rsidRPr="00000000">
        <w:rPr>
          <w:rFonts w:ascii="Times New Roman" w:cs="Times New Roman" w:eastAsia="Times New Roman" w:hAnsi="Times New Roman"/>
          <w:sz w:val="24"/>
          <w:szCs w:val="24"/>
          <w:vertAlign w:val="superscript"/>
        </w:rPr>
        <w:footnoteReference w:customMarkFollows="0" w:id="19"/>
      </w:r>
      <w:r w:rsidDel="00000000" w:rsidR="00000000" w:rsidRPr="00000000">
        <w:rPr>
          <w:rFonts w:ascii="Times New Roman" w:cs="Times New Roman" w:eastAsia="Times New Roman" w:hAnsi="Times New Roman"/>
          <w:sz w:val="24"/>
          <w:szCs w:val="24"/>
          <w:rtl w:val="0"/>
        </w:rPr>
        <w:t xml:space="preserve"> However, no studies attempted to compare the amount of MSG used in Chinese restaurants to amounts used in American processed food products like canned soup.</w:t>
      </w:r>
      <w:r w:rsidDel="00000000" w:rsidR="00000000" w:rsidRPr="00000000">
        <w:rPr>
          <w:rFonts w:ascii="Times New Roman" w:cs="Times New Roman" w:eastAsia="Times New Roman" w:hAnsi="Times New Roman"/>
          <w:sz w:val="24"/>
          <w:szCs w:val="24"/>
          <w:vertAlign w:val="superscript"/>
        </w:rPr>
        <w:footnoteReference w:customMarkFollows="0" w:id="20"/>
      </w:r>
      <w:r w:rsidDel="00000000" w:rsidR="00000000" w:rsidRPr="00000000">
        <w:rPr>
          <w:rFonts w:ascii="Times New Roman" w:cs="Times New Roman" w:eastAsia="Times New Roman" w:hAnsi="Times New Roman"/>
          <w:sz w:val="24"/>
          <w:szCs w:val="24"/>
          <w:rtl w:val="0"/>
        </w:rPr>
        <w:t xml:space="preserve"> The fact that these warnings were only directed to Chinese restaurants when MSG was being used by several American food manufacturers is indicative of the racial undertones of the discourse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Despite the obviously flawed assumptions and double standards, Chinese food was already engraved as unsafe in the minds of the public. </w:t>
      </w:r>
    </w:p>
    <w:p w:rsidR="00000000" w:rsidDel="00000000" w:rsidP="00000000" w:rsidRDefault="00000000" w:rsidRPr="00000000" w14:paraId="0000002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how did such an obvious double standard fly over the heads of many who researched and reported on the Chinese Restaurant Syndrome and why did the public so readily accept the flawed results? The answer is simple: the idea that Chinese Restaurant Syndrome was manifested by questionable practices of the Chinese cooks confirmed the long-held suspicions surrounding the safety of the “exotic” and “nasty” Oriental eating practices. Food historian Harvey Levenstein argues that the MSG scare was just another example of the “ever-present fears of what was going on in the inscrutable Chinese kitchens.”</w:t>
      </w:r>
      <w:r w:rsidDel="00000000" w:rsidR="00000000" w:rsidRPr="00000000">
        <w:rPr>
          <w:rFonts w:ascii="Times New Roman" w:cs="Times New Roman" w:eastAsia="Times New Roman" w:hAnsi="Times New Roman"/>
          <w:sz w:val="24"/>
          <w:szCs w:val="24"/>
          <w:vertAlign w:val="superscript"/>
        </w:rPr>
        <w:footnoteReference w:customMarkFollows="0" w:id="21"/>
      </w:r>
      <w:r w:rsidDel="00000000" w:rsidR="00000000" w:rsidRPr="00000000">
        <w:rPr>
          <w:rFonts w:ascii="Times New Roman" w:cs="Times New Roman" w:eastAsia="Times New Roman" w:hAnsi="Times New Roman"/>
          <w:sz w:val="24"/>
          <w:szCs w:val="24"/>
          <w:rtl w:val="0"/>
        </w:rPr>
        <w:t xml:space="preserve"> The American public has feared Chinese cuisine since its arrival in America, stereotyping it as “exotic” and profiling the Chinese as rat-eaters. Historian Ian Mosby writes that the discourse in a way “granted a renewed medical legitimacy to a number of long-held assumptions about the strangely ‘exotic’, ‘bizarre’, and ‘excessive’ practices associated with Chinese culture.”</w:t>
      </w:r>
      <w:r w:rsidDel="00000000" w:rsidR="00000000" w:rsidRPr="00000000">
        <w:rPr>
          <w:rFonts w:ascii="Times New Roman" w:cs="Times New Roman" w:eastAsia="Times New Roman" w:hAnsi="Times New Roman"/>
          <w:sz w:val="24"/>
          <w:szCs w:val="24"/>
          <w:vertAlign w:val="superscript"/>
        </w:rPr>
        <w:footnoteReference w:customMarkFollows="0" w:id="22"/>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Ho Man Kwok is credited for “discovering” the Chinese Restaurant Syndrome, but the following experiments associated the symptoms with MSG and gave the syndrome its scientific legitimacy. MSG safety is still an ongoing debate. Some claim that the FDA is not in the favor of the public, but rather that it is heavily influenced by greedy corporations.</w:t>
      </w:r>
      <w:r w:rsidDel="00000000" w:rsidR="00000000" w:rsidRPr="00000000">
        <w:rPr>
          <w:rFonts w:ascii="Times New Roman" w:cs="Times New Roman" w:eastAsia="Times New Roman" w:hAnsi="Times New Roman"/>
          <w:sz w:val="24"/>
          <w:szCs w:val="24"/>
          <w:vertAlign w:val="superscript"/>
        </w:rPr>
        <w:footnoteReference w:customMarkFollows="0" w:id="23"/>
      </w:r>
      <w:r w:rsidDel="00000000" w:rsidR="00000000" w:rsidRPr="00000000">
        <w:rPr>
          <w:rFonts w:ascii="Times New Roman" w:cs="Times New Roman" w:eastAsia="Times New Roman" w:hAnsi="Times New Roman"/>
          <w:sz w:val="24"/>
          <w:szCs w:val="24"/>
          <w:rtl w:val="0"/>
        </w:rPr>
        <w:t xml:space="preserve"> Others consider this a ridiculous conspiracy theory worthless of considering. Regardless of which is the truth, to this day MSG is widely believed to cause negative health effects and recognized in association with Asian cuisine. In hindsight, it’s questionable how the Chinese Restaurant Syndrome was reported at a much greater frequency in non-American food contexts when MSG was used in large amounts as food additives in the American processed food industry. It’s more amusing given that the syndrome was distinctively American: when writing the letter to NEJM, Dr. Kwok specified that he experienced the effects only in America, and the syndrome was largely unknown in countries like Japan and China, both of which had been using MSG longer than the United States.</w:t>
      </w:r>
      <w:r w:rsidDel="00000000" w:rsidR="00000000" w:rsidRPr="00000000">
        <w:rPr>
          <w:rFonts w:ascii="Times New Roman" w:cs="Times New Roman" w:eastAsia="Times New Roman" w:hAnsi="Times New Roman"/>
          <w:sz w:val="24"/>
          <w:szCs w:val="24"/>
          <w:vertAlign w:val="superscript"/>
        </w:rPr>
        <w:footnoteReference w:customMarkFollows="0" w:id="24"/>
      </w:r>
      <w:r w:rsidDel="00000000" w:rsidR="00000000" w:rsidRPr="00000000">
        <w:rPr>
          <w:rFonts w:ascii="Times New Roman" w:cs="Times New Roman" w:eastAsia="Times New Roman" w:hAnsi="Times New Roman"/>
          <w:sz w:val="24"/>
          <w:szCs w:val="24"/>
          <w:rtl w:val="0"/>
        </w:rPr>
        <w:t xml:space="preserve"> Alas, the ethnic origins of the syndrome were not questioned: both scientific and popular media reported the condition in strictly Asiatic contexts. It is clear that, regardless of whether it was nonsense hysteria or a legitimized health concern, the driving force behind the MSG scare was long-held racist beliefs. Perhaps what churned the stomachs of consumers and was causing the headaches and vomit-inducing nausea was not MSG, but the Americans’ confirmation of the illusory bizarreness and exoticism of the Chinese and their culture. </w:t>
      </w:r>
    </w:p>
    <w:p w:rsidR="00000000" w:rsidDel="00000000" w:rsidP="00000000" w:rsidRDefault="00000000" w:rsidRPr="00000000" w14:paraId="0000002C">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line="480" w:lineRule="auto"/>
        <w:ind w:firstLine="72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E">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Bibliography</w:t>
      </w:r>
    </w:p>
    <w:p w:rsidR="00000000" w:rsidDel="00000000" w:rsidP="00000000" w:rsidRDefault="00000000" w:rsidRPr="00000000" w14:paraId="0000003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Barbas, Samantha. “‘I’ll Take Chop Suey’: Restaurants as Agents of Culinary and Cultural</w:t>
      </w:r>
    </w:p>
    <w:p w:rsidR="00000000" w:rsidDel="00000000" w:rsidP="00000000" w:rsidRDefault="00000000" w:rsidRPr="00000000" w14:paraId="00000031">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Change.” </w:t>
      </w:r>
      <w:r w:rsidDel="00000000" w:rsidR="00000000" w:rsidRPr="00000000">
        <w:rPr>
          <w:rFonts w:ascii="Times New Roman" w:cs="Times New Roman" w:eastAsia="Times New Roman" w:hAnsi="Times New Roman"/>
          <w:i w:val="1"/>
          <w:sz w:val="24"/>
          <w:szCs w:val="24"/>
          <w:rtl w:val="0"/>
        </w:rPr>
        <w:t xml:space="preserve">The Journal of Popular Culture</w:t>
      </w:r>
      <w:r w:rsidDel="00000000" w:rsidR="00000000" w:rsidRPr="00000000">
        <w:rPr>
          <w:rFonts w:ascii="Times New Roman" w:cs="Times New Roman" w:eastAsia="Times New Roman" w:hAnsi="Times New Roman"/>
          <w:sz w:val="24"/>
          <w:szCs w:val="24"/>
          <w:rtl w:val="0"/>
        </w:rPr>
        <w:t xml:space="preserve"> 36: no. 4 (2003): 653-885. </w:t>
      </w:r>
    </w:p>
    <w:p w:rsidR="00000000" w:rsidDel="00000000" w:rsidP="00000000" w:rsidRDefault="00000000" w:rsidRPr="00000000" w14:paraId="00000032">
      <w:pPr>
        <w:spacing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Kean, Sam. “The Rotten Science Behind the MSG Scare.” </w:t>
      </w:r>
      <w:r w:rsidDel="00000000" w:rsidR="00000000" w:rsidRPr="00000000">
        <w:rPr>
          <w:rFonts w:ascii="Times New Roman" w:cs="Times New Roman" w:eastAsia="Times New Roman" w:hAnsi="Times New Roman"/>
          <w:i w:val="1"/>
          <w:sz w:val="24"/>
          <w:szCs w:val="24"/>
          <w:rtl w:val="0"/>
        </w:rPr>
        <w:t xml:space="preserve">Science History Institute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Last modified March 2, 2023. https://www.sciencehistory.org/stories/magazine/the-rotten-science-behind-the-msg-scare</w:t>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Kwok, R.H. “Chinese-Restaurant Syndrome.” </w:t>
      </w:r>
      <w:r w:rsidDel="00000000" w:rsidR="00000000" w:rsidRPr="00000000">
        <w:rPr>
          <w:rFonts w:ascii="Times New Roman" w:cs="Times New Roman" w:eastAsia="Times New Roman" w:hAnsi="Times New Roman"/>
          <w:i w:val="1"/>
          <w:sz w:val="24"/>
          <w:szCs w:val="24"/>
          <w:rtl w:val="0"/>
        </w:rPr>
        <w:t xml:space="preserve">The New England Journal of Medicine</w:t>
      </w:r>
      <w:r w:rsidDel="00000000" w:rsidR="00000000" w:rsidRPr="00000000">
        <w:rPr>
          <w:rFonts w:ascii="Times New Roman" w:cs="Times New Roman" w:eastAsia="Times New Roman" w:hAnsi="Times New Roman"/>
          <w:sz w:val="24"/>
          <w:szCs w:val="24"/>
          <w:rtl w:val="0"/>
        </w:rPr>
        <w:t xml:space="preserve"> 278, no. 14</w:t>
      </w:r>
    </w:p>
    <w:p w:rsidR="00000000" w:rsidDel="00000000" w:rsidP="00000000" w:rsidRDefault="00000000" w:rsidRPr="00000000" w14:paraId="00000036">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(1968): 796.</w:t>
      </w:r>
    </w:p>
    <w:p w:rsidR="00000000" w:rsidDel="00000000" w:rsidP="00000000" w:rsidRDefault="00000000" w:rsidRPr="00000000" w14:paraId="00000037">
      <w:pPr>
        <w:spacing w:line="24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Liu, Haiming. </w:t>
      </w:r>
      <w:r w:rsidDel="00000000" w:rsidR="00000000" w:rsidRPr="00000000">
        <w:rPr>
          <w:rFonts w:ascii="Times New Roman" w:cs="Times New Roman" w:eastAsia="Times New Roman" w:hAnsi="Times New Roman"/>
          <w:i w:val="1"/>
          <w:sz w:val="24"/>
          <w:szCs w:val="24"/>
          <w:rtl w:val="0"/>
        </w:rPr>
        <w:t xml:space="preserve">From Canton Restaurant to Panda Express A History of Chinese Food in the</w:t>
      </w:r>
    </w:p>
    <w:p w:rsidR="00000000" w:rsidDel="00000000" w:rsidP="00000000" w:rsidRDefault="00000000" w:rsidRPr="00000000" w14:paraId="00000039">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United States</w:t>
      </w:r>
      <w:r w:rsidDel="00000000" w:rsidR="00000000" w:rsidRPr="00000000">
        <w:rPr>
          <w:rFonts w:ascii="Times New Roman" w:cs="Times New Roman" w:eastAsia="Times New Roman" w:hAnsi="Times New Roman"/>
          <w:sz w:val="24"/>
          <w:szCs w:val="24"/>
          <w:rtl w:val="0"/>
        </w:rPr>
        <w:t xml:space="preserve">. New Jersey: Rutgers University Press, 2015.</w:t>
      </w:r>
    </w:p>
    <w:p w:rsidR="00000000" w:rsidDel="00000000" w:rsidP="00000000" w:rsidRDefault="00000000" w:rsidRPr="00000000" w14:paraId="0000003A">
      <w:pPr>
        <w:spacing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Lyonsspecial, Richard D. “Health Aides Tell Chinese Eateries To Curb MSG Use.” </w:t>
      </w:r>
      <w:r w:rsidDel="00000000" w:rsidR="00000000" w:rsidRPr="00000000">
        <w:rPr>
          <w:rFonts w:ascii="Times New Roman" w:cs="Times New Roman" w:eastAsia="Times New Roman" w:hAnsi="Times New Roman"/>
          <w:i w:val="1"/>
          <w:sz w:val="24"/>
          <w:szCs w:val="24"/>
          <w:rtl w:val="0"/>
        </w:rPr>
        <w:t xml:space="preserve">New York Times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Last modified November 13, 1969. https://www.nytimes.com/1969/11/13/archives/health-aides-tell-chinese-eateries-to-curb-msg-use.html</w:t>
      </w:r>
    </w:p>
    <w:p w:rsidR="00000000" w:rsidDel="00000000" w:rsidP="00000000" w:rsidRDefault="00000000" w:rsidRPr="00000000" w14:paraId="0000003C">
      <w:pPr>
        <w:spacing w:line="24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Mosby, Ian. “‘That Won-Ton Soup Headache’: The Chinese Restaurant Syndrome, MSG and the</w:t>
      </w:r>
    </w:p>
    <w:p w:rsidR="00000000" w:rsidDel="00000000" w:rsidP="00000000" w:rsidRDefault="00000000" w:rsidRPr="00000000" w14:paraId="0000003E">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Making of American Food, 1968–1980.” </w:t>
      </w:r>
      <w:r w:rsidDel="00000000" w:rsidR="00000000" w:rsidRPr="00000000">
        <w:rPr>
          <w:rFonts w:ascii="Times New Roman" w:cs="Times New Roman" w:eastAsia="Times New Roman" w:hAnsi="Times New Roman"/>
          <w:i w:val="1"/>
          <w:sz w:val="24"/>
          <w:szCs w:val="24"/>
          <w:rtl w:val="0"/>
        </w:rPr>
        <w:t xml:space="preserve">Social History of Medicine </w:t>
      </w:r>
      <w:r w:rsidDel="00000000" w:rsidR="00000000" w:rsidRPr="00000000">
        <w:rPr>
          <w:rFonts w:ascii="Times New Roman" w:cs="Times New Roman" w:eastAsia="Times New Roman" w:hAnsi="Times New Roman"/>
          <w:sz w:val="24"/>
          <w:szCs w:val="24"/>
          <w:rtl w:val="0"/>
        </w:rPr>
        <w:t xml:space="preserve">22, no. 1 (2009): 133–151. </w:t>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Olney, John W. “Brain Lesions, Obesity, and Other Disturbances in Mice Treated With</w:t>
      </w:r>
    </w:p>
    <w:p w:rsidR="00000000" w:rsidDel="00000000" w:rsidP="00000000" w:rsidRDefault="00000000" w:rsidRPr="00000000" w14:paraId="00000041">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Monosodium Glutamate.” </w:t>
      </w:r>
      <w:r w:rsidDel="00000000" w:rsidR="00000000" w:rsidRPr="00000000">
        <w:rPr>
          <w:rFonts w:ascii="Times New Roman" w:cs="Times New Roman" w:eastAsia="Times New Roman" w:hAnsi="Times New Roman"/>
          <w:i w:val="1"/>
          <w:sz w:val="24"/>
          <w:szCs w:val="24"/>
          <w:rtl w:val="0"/>
        </w:rPr>
        <w:t xml:space="preserve">Science</w:t>
      </w:r>
      <w:r w:rsidDel="00000000" w:rsidR="00000000" w:rsidRPr="00000000">
        <w:rPr>
          <w:rFonts w:ascii="Times New Roman" w:cs="Times New Roman" w:eastAsia="Times New Roman" w:hAnsi="Times New Roman"/>
          <w:sz w:val="24"/>
          <w:szCs w:val="24"/>
          <w:rtl w:val="0"/>
        </w:rPr>
        <w:t xml:space="preserve"> 164: no. 3880 (1969): 719-721.</w:t>
      </w:r>
    </w:p>
    <w:p w:rsidR="00000000" w:rsidDel="00000000" w:rsidP="00000000" w:rsidRDefault="00000000" w:rsidRPr="00000000" w14:paraId="0000004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line="24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Samuels, Adrienne. “The Toxicity/Safety of Processed Free Glutamic Acid (MSG): A Study in Suppression of Information.” </w:t>
      </w:r>
      <w:r w:rsidDel="00000000" w:rsidR="00000000" w:rsidRPr="00000000">
        <w:rPr>
          <w:rFonts w:ascii="Times New Roman" w:cs="Times New Roman" w:eastAsia="Times New Roman" w:hAnsi="Times New Roman"/>
          <w:i w:val="1"/>
          <w:sz w:val="24"/>
          <w:szCs w:val="24"/>
          <w:rtl w:val="0"/>
        </w:rPr>
        <w:t xml:space="preserve">Accountability in Research</w:t>
      </w:r>
      <w:r w:rsidDel="00000000" w:rsidR="00000000" w:rsidRPr="00000000">
        <w:rPr>
          <w:rFonts w:ascii="Times New Roman" w:cs="Times New Roman" w:eastAsia="Times New Roman" w:hAnsi="Times New Roman"/>
          <w:sz w:val="24"/>
          <w:szCs w:val="24"/>
          <w:rtl w:val="0"/>
        </w:rPr>
        <w:t xml:space="preserve"> 6, no. 4 (1999): 259–310.</w:t>
      </w:r>
    </w:p>
    <w:p w:rsidR="00000000" w:rsidDel="00000000" w:rsidP="00000000" w:rsidRDefault="00000000" w:rsidRPr="00000000" w14:paraId="00000044">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Sand, Jordan. “A Short History of MSG: Good Science, Bad Science, and Taste Cultures.”</w:t>
      </w:r>
    </w:p>
    <w:p w:rsidR="00000000" w:rsidDel="00000000" w:rsidP="00000000" w:rsidRDefault="00000000" w:rsidRPr="00000000" w14:paraId="00000046">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Gastronomica</w:t>
      </w:r>
      <w:r w:rsidDel="00000000" w:rsidR="00000000" w:rsidRPr="00000000">
        <w:rPr>
          <w:rFonts w:ascii="Times New Roman" w:cs="Times New Roman" w:eastAsia="Times New Roman" w:hAnsi="Times New Roman"/>
          <w:sz w:val="24"/>
          <w:szCs w:val="24"/>
          <w:rtl w:val="0"/>
        </w:rPr>
        <w:t xml:space="preserve"> 5, no. 4 (2005): 38-49. </w:t>
      </w:r>
    </w:p>
    <w:p w:rsidR="00000000" w:rsidDel="00000000" w:rsidP="00000000" w:rsidRDefault="00000000" w:rsidRPr="00000000" w14:paraId="00000047">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spacing w:line="240" w:lineRule="auto"/>
        <w:ind w:firstLine="720"/>
        <w:rPr>
          <w:rFonts w:ascii="Times New Roman" w:cs="Times New Roman" w:eastAsia="Times New Roman" w:hAnsi="Times New Roman"/>
          <w:sz w:val="24"/>
          <w:szCs w:val="24"/>
        </w:rPr>
      </w:pPr>
      <w:r w:rsidDel="00000000" w:rsidR="00000000" w:rsidRPr="00000000">
        <w:rPr>
          <w:rtl w:val="0"/>
        </w:rPr>
      </w:r>
    </w:p>
    <w:sectPr>
      <w:headerReference r:id="rId7" w:type="default"/>
      <w:headerReference r:id="rId8" w:type="first"/>
      <w:footerReference r:id="rId9" w:type="default"/>
      <w:pgSz w:h="15840" w:w="12240" w:orient="portrait"/>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49">
      <w:pPr>
        <w:spacing w:line="240" w:lineRule="auto"/>
        <w:ind w:firstLine="720"/>
        <w:rPr>
          <w:rFonts w:ascii="Times New Roman" w:cs="Times New Roman" w:eastAsia="Times New Roman" w:hAnsi="Times New Roman"/>
          <w:sz w:val="24"/>
          <w:szCs w:val="24"/>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4"/>
          <w:szCs w:val="24"/>
          <w:rtl w:val="0"/>
        </w:rPr>
        <w:t xml:space="preserve">Samuel Gompers, </w:t>
      </w:r>
      <w:r w:rsidDel="00000000" w:rsidR="00000000" w:rsidRPr="00000000">
        <w:rPr>
          <w:rFonts w:ascii="Times New Roman" w:cs="Times New Roman" w:eastAsia="Times New Roman" w:hAnsi="Times New Roman"/>
          <w:i w:val="1"/>
          <w:sz w:val="24"/>
          <w:szCs w:val="24"/>
          <w:rtl w:val="0"/>
        </w:rPr>
        <w:t xml:space="preserve">Meat Vs. Rice: American Manhood Against Asiatic Coolieism, Which Shall Survive </w:t>
      </w:r>
      <w:r w:rsidDel="00000000" w:rsidR="00000000" w:rsidRPr="00000000">
        <w:rPr>
          <w:rFonts w:ascii="Times New Roman" w:cs="Times New Roman" w:eastAsia="Times New Roman" w:hAnsi="Times New Roman"/>
          <w:sz w:val="24"/>
          <w:szCs w:val="24"/>
          <w:rtl w:val="0"/>
        </w:rPr>
        <w:t xml:space="preserve">(California: American Federation of Labor, 1902), 22.</w:t>
      </w:r>
    </w:p>
  </w:footnote>
  <w:footnote w:id="1">
    <w:p w:rsidR="00000000" w:rsidDel="00000000" w:rsidP="00000000" w:rsidRDefault="00000000" w:rsidRPr="00000000" w14:paraId="0000004A">
      <w:pPr>
        <w:spacing w:line="240" w:lineRule="auto"/>
        <w:ind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4"/>
          <w:szCs w:val="24"/>
          <w:rtl w:val="0"/>
        </w:rPr>
        <w:t xml:space="preserve">Haiming Liu, </w:t>
      </w:r>
      <w:r w:rsidDel="00000000" w:rsidR="00000000" w:rsidRPr="00000000">
        <w:rPr>
          <w:rFonts w:ascii="Times New Roman" w:cs="Times New Roman" w:eastAsia="Times New Roman" w:hAnsi="Times New Roman"/>
          <w:i w:val="1"/>
          <w:sz w:val="24"/>
          <w:szCs w:val="24"/>
          <w:rtl w:val="0"/>
        </w:rPr>
        <w:t xml:space="preserve">From Canton Restaurant to Panda Express: A History of Chinese Food in the United States</w:t>
      </w:r>
      <w:r w:rsidDel="00000000" w:rsidR="00000000" w:rsidRPr="00000000">
        <w:rPr>
          <w:rFonts w:ascii="Times New Roman" w:cs="Times New Roman" w:eastAsia="Times New Roman" w:hAnsi="Times New Roman"/>
          <w:sz w:val="24"/>
          <w:szCs w:val="24"/>
          <w:rtl w:val="0"/>
        </w:rPr>
        <w:t xml:space="preserve"> (New Jersey: Rutgers University Press, 2015), 38.</w:t>
      </w:r>
      <w:r w:rsidDel="00000000" w:rsidR="00000000" w:rsidRPr="00000000">
        <w:rPr>
          <w:rtl w:val="0"/>
        </w:rPr>
      </w:r>
    </w:p>
  </w:footnote>
  <w:footnote w:id="2">
    <w:p w:rsidR="00000000" w:rsidDel="00000000" w:rsidP="00000000" w:rsidRDefault="00000000" w:rsidRPr="00000000" w14:paraId="0000004B">
      <w:pPr>
        <w:spacing w:line="240" w:lineRule="auto"/>
        <w:ind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4"/>
          <w:szCs w:val="24"/>
          <w:rtl w:val="0"/>
        </w:rPr>
        <w:t xml:space="preserve">Liu, </w:t>
      </w:r>
      <w:r w:rsidDel="00000000" w:rsidR="00000000" w:rsidRPr="00000000">
        <w:rPr>
          <w:rFonts w:ascii="Times New Roman" w:cs="Times New Roman" w:eastAsia="Times New Roman" w:hAnsi="Times New Roman"/>
          <w:i w:val="1"/>
          <w:sz w:val="24"/>
          <w:szCs w:val="24"/>
          <w:rtl w:val="0"/>
        </w:rPr>
        <w:t xml:space="preserve">From Canton Restaurant to Panda Express</w:t>
      </w:r>
      <w:r w:rsidDel="00000000" w:rsidR="00000000" w:rsidRPr="00000000">
        <w:rPr>
          <w:rFonts w:ascii="Times New Roman" w:cs="Times New Roman" w:eastAsia="Times New Roman" w:hAnsi="Times New Roman"/>
          <w:sz w:val="24"/>
          <w:szCs w:val="24"/>
          <w:rtl w:val="0"/>
        </w:rPr>
        <w:t xml:space="preserve">, 38.</w:t>
      </w:r>
      <w:r w:rsidDel="00000000" w:rsidR="00000000" w:rsidRPr="00000000">
        <w:rPr>
          <w:rtl w:val="0"/>
        </w:rPr>
      </w:r>
    </w:p>
  </w:footnote>
  <w:footnote w:id="3">
    <w:p w:rsidR="00000000" w:rsidDel="00000000" w:rsidP="00000000" w:rsidRDefault="00000000" w:rsidRPr="00000000" w14:paraId="0000004C">
      <w:pPr>
        <w:spacing w:line="240" w:lineRule="auto"/>
        <w:ind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4"/>
          <w:szCs w:val="24"/>
          <w:rtl w:val="0"/>
        </w:rPr>
        <w:t xml:space="preserve">Liu, </w:t>
      </w:r>
      <w:r w:rsidDel="00000000" w:rsidR="00000000" w:rsidRPr="00000000">
        <w:rPr>
          <w:rFonts w:ascii="Times New Roman" w:cs="Times New Roman" w:eastAsia="Times New Roman" w:hAnsi="Times New Roman"/>
          <w:i w:val="1"/>
          <w:sz w:val="24"/>
          <w:szCs w:val="24"/>
          <w:rtl w:val="0"/>
        </w:rPr>
        <w:t xml:space="preserve">From Canton Restaurant to Panda Express</w:t>
      </w:r>
      <w:r w:rsidDel="00000000" w:rsidR="00000000" w:rsidRPr="00000000">
        <w:rPr>
          <w:rFonts w:ascii="Times New Roman" w:cs="Times New Roman" w:eastAsia="Times New Roman" w:hAnsi="Times New Roman"/>
          <w:sz w:val="24"/>
          <w:szCs w:val="24"/>
          <w:rtl w:val="0"/>
        </w:rPr>
        <w:t xml:space="preserve">, 40. </w:t>
      </w:r>
      <w:r w:rsidDel="00000000" w:rsidR="00000000" w:rsidRPr="00000000">
        <w:rPr>
          <w:rtl w:val="0"/>
        </w:rPr>
      </w:r>
    </w:p>
  </w:footnote>
  <w:footnote w:id="4">
    <w:p w:rsidR="00000000" w:rsidDel="00000000" w:rsidP="00000000" w:rsidRDefault="00000000" w:rsidRPr="00000000" w14:paraId="0000004D">
      <w:pPr>
        <w:spacing w:line="240" w:lineRule="auto"/>
        <w:ind w:firstLine="720"/>
        <w:rPr>
          <w:rFonts w:ascii="Times New Roman" w:cs="Times New Roman" w:eastAsia="Times New Roman" w:hAnsi="Times New Roman"/>
          <w:sz w:val="24"/>
          <w:szCs w:val="24"/>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4"/>
          <w:szCs w:val="24"/>
          <w:rtl w:val="0"/>
        </w:rPr>
        <w:t xml:space="preserve">Haiming Liu, “Chop Suey as Imagined Authentic Chinese Food: The Culinary Identity of Chinese Restaurants in the United States,” </w:t>
      </w:r>
      <w:r w:rsidDel="00000000" w:rsidR="00000000" w:rsidRPr="00000000">
        <w:rPr>
          <w:rFonts w:ascii="Times New Roman" w:cs="Times New Roman" w:eastAsia="Times New Roman" w:hAnsi="Times New Roman"/>
          <w:i w:val="1"/>
          <w:sz w:val="24"/>
          <w:szCs w:val="24"/>
          <w:rtl w:val="0"/>
        </w:rPr>
        <w:t xml:space="preserve">Journal of Transnational American Studies</w:t>
      </w:r>
      <w:r w:rsidDel="00000000" w:rsidR="00000000" w:rsidRPr="00000000">
        <w:rPr>
          <w:rFonts w:ascii="Times New Roman" w:cs="Times New Roman" w:eastAsia="Times New Roman" w:hAnsi="Times New Roman"/>
          <w:sz w:val="24"/>
          <w:szCs w:val="24"/>
          <w:rtl w:val="0"/>
        </w:rPr>
        <w:t xml:space="preserve"> 1, no. 1 (2009)</w:t>
      </w:r>
      <w:r w:rsidDel="00000000" w:rsidR="00000000" w:rsidRPr="00000000">
        <w:rPr>
          <w:rtl w:val="0"/>
        </w:rPr>
      </w:r>
    </w:p>
  </w:footnote>
  <w:footnote w:id="5">
    <w:p w:rsidR="00000000" w:rsidDel="00000000" w:rsidP="00000000" w:rsidRDefault="00000000" w:rsidRPr="00000000" w14:paraId="0000004E">
      <w:pPr>
        <w:spacing w:line="240" w:lineRule="auto"/>
        <w:ind w:firstLine="720"/>
        <w:rPr>
          <w:rFonts w:ascii="Times New Roman" w:cs="Times New Roman" w:eastAsia="Times New Roman" w:hAnsi="Times New Roman"/>
          <w:sz w:val="24"/>
          <w:szCs w:val="24"/>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4"/>
          <w:szCs w:val="24"/>
          <w:rtl w:val="0"/>
        </w:rPr>
        <w:t xml:space="preserve">Liu, </w:t>
      </w:r>
      <w:r w:rsidDel="00000000" w:rsidR="00000000" w:rsidRPr="00000000">
        <w:rPr>
          <w:rFonts w:ascii="Times New Roman" w:cs="Times New Roman" w:eastAsia="Times New Roman" w:hAnsi="Times New Roman"/>
          <w:i w:val="1"/>
          <w:sz w:val="24"/>
          <w:szCs w:val="24"/>
          <w:rtl w:val="0"/>
        </w:rPr>
        <w:t xml:space="preserve">From Canton Restaurant to Panda Express</w:t>
      </w:r>
      <w:r w:rsidDel="00000000" w:rsidR="00000000" w:rsidRPr="00000000">
        <w:rPr>
          <w:rFonts w:ascii="Times New Roman" w:cs="Times New Roman" w:eastAsia="Times New Roman" w:hAnsi="Times New Roman"/>
          <w:sz w:val="24"/>
          <w:szCs w:val="24"/>
          <w:rtl w:val="0"/>
        </w:rPr>
        <w:t xml:space="preserve">, 3. </w:t>
      </w:r>
    </w:p>
  </w:footnote>
  <w:footnote w:id="6">
    <w:p w:rsidR="00000000" w:rsidDel="00000000" w:rsidP="00000000" w:rsidRDefault="00000000" w:rsidRPr="00000000" w14:paraId="0000004F">
      <w:pPr>
        <w:spacing w:line="240" w:lineRule="auto"/>
        <w:ind w:firstLine="720"/>
        <w:rPr>
          <w:rFonts w:ascii="Times New Roman" w:cs="Times New Roman" w:eastAsia="Times New Roman" w:hAnsi="Times New Roman"/>
          <w:sz w:val="24"/>
          <w:szCs w:val="24"/>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4"/>
          <w:szCs w:val="24"/>
          <w:rtl w:val="0"/>
        </w:rPr>
        <w:t xml:space="preserve">Jordan Sand, “A Short History of MSG: Good Science, Bad Science, and Taste Cultures,” </w:t>
      </w:r>
      <w:r w:rsidDel="00000000" w:rsidR="00000000" w:rsidRPr="00000000">
        <w:rPr>
          <w:rFonts w:ascii="Times New Roman" w:cs="Times New Roman" w:eastAsia="Times New Roman" w:hAnsi="Times New Roman"/>
          <w:i w:val="1"/>
          <w:sz w:val="24"/>
          <w:szCs w:val="24"/>
          <w:rtl w:val="0"/>
        </w:rPr>
        <w:t xml:space="preserve">Gastronomica </w:t>
      </w:r>
      <w:r w:rsidDel="00000000" w:rsidR="00000000" w:rsidRPr="00000000">
        <w:rPr>
          <w:rFonts w:ascii="Times New Roman" w:cs="Times New Roman" w:eastAsia="Times New Roman" w:hAnsi="Times New Roman"/>
          <w:sz w:val="24"/>
          <w:szCs w:val="24"/>
          <w:rtl w:val="0"/>
        </w:rPr>
        <w:t xml:space="preserve">5, no. 4 (2005): 38.</w:t>
      </w:r>
    </w:p>
  </w:footnote>
  <w:footnote w:id="7">
    <w:p w:rsidR="00000000" w:rsidDel="00000000" w:rsidP="00000000" w:rsidRDefault="00000000" w:rsidRPr="00000000" w14:paraId="00000050">
      <w:pPr>
        <w:spacing w:line="240" w:lineRule="auto"/>
        <w:ind w:firstLine="720"/>
        <w:rPr>
          <w:rFonts w:ascii="Times New Roman" w:cs="Times New Roman" w:eastAsia="Times New Roman" w:hAnsi="Times New Roman"/>
          <w:sz w:val="24"/>
          <w:szCs w:val="24"/>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4"/>
          <w:szCs w:val="24"/>
          <w:rtl w:val="0"/>
        </w:rPr>
        <w:t xml:space="preserve">Sand, “A Short History of MSG: Good Science, Bad Science, and Taste Cultures,” 41.</w:t>
      </w:r>
    </w:p>
  </w:footnote>
  <w:footnote w:id="8">
    <w:p w:rsidR="00000000" w:rsidDel="00000000" w:rsidP="00000000" w:rsidRDefault="00000000" w:rsidRPr="00000000" w14:paraId="00000051">
      <w:pPr>
        <w:spacing w:line="240" w:lineRule="auto"/>
        <w:ind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4"/>
          <w:szCs w:val="24"/>
          <w:rtl w:val="0"/>
        </w:rPr>
        <w:t xml:space="preserve">Sand, “A Short History of MSG: Good Science, Bad Science, and Taste Cultures,” 41.</w:t>
      </w:r>
      <w:r w:rsidDel="00000000" w:rsidR="00000000" w:rsidRPr="00000000">
        <w:rPr>
          <w:rtl w:val="0"/>
        </w:rPr>
      </w:r>
    </w:p>
  </w:footnote>
  <w:footnote w:id="9">
    <w:p w:rsidR="00000000" w:rsidDel="00000000" w:rsidP="00000000" w:rsidRDefault="00000000" w:rsidRPr="00000000" w14:paraId="00000052">
      <w:pPr>
        <w:spacing w:line="240" w:lineRule="auto"/>
        <w:ind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4"/>
          <w:szCs w:val="24"/>
          <w:rtl w:val="0"/>
        </w:rPr>
        <w:t xml:space="preserve">Sand, “A Short History of MSG: Good Science, Bad Science, and Taste Cultures,” 41.</w:t>
      </w:r>
      <w:r w:rsidDel="00000000" w:rsidR="00000000" w:rsidRPr="00000000">
        <w:rPr>
          <w:rtl w:val="0"/>
        </w:rPr>
      </w:r>
    </w:p>
  </w:footnote>
  <w:footnote w:id="10">
    <w:p w:rsidR="00000000" w:rsidDel="00000000" w:rsidP="00000000" w:rsidRDefault="00000000" w:rsidRPr="00000000" w14:paraId="00000053">
      <w:pPr>
        <w:spacing w:line="240" w:lineRule="auto"/>
        <w:ind w:firstLine="720"/>
        <w:rPr>
          <w:rFonts w:ascii="Times New Roman" w:cs="Times New Roman" w:eastAsia="Times New Roman" w:hAnsi="Times New Roman"/>
          <w:sz w:val="24"/>
          <w:szCs w:val="24"/>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4"/>
          <w:szCs w:val="24"/>
          <w:rtl w:val="0"/>
        </w:rPr>
        <w:t xml:space="preserve">Sand, “A Short History of MSG: Good Science, Bad Science, and Taste Cultures,” 44.</w:t>
      </w:r>
    </w:p>
  </w:footnote>
  <w:footnote w:id="11">
    <w:p w:rsidR="00000000" w:rsidDel="00000000" w:rsidP="00000000" w:rsidRDefault="00000000" w:rsidRPr="00000000" w14:paraId="00000054">
      <w:pPr>
        <w:spacing w:line="240" w:lineRule="auto"/>
        <w:ind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4"/>
          <w:szCs w:val="24"/>
          <w:rtl w:val="0"/>
        </w:rPr>
        <w:t xml:space="preserve">Robert Ho Man Kwok, “Chinese Restaurant Syndrome,” </w:t>
      </w:r>
      <w:r w:rsidDel="00000000" w:rsidR="00000000" w:rsidRPr="00000000">
        <w:rPr>
          <w:rFonts w:ascii="Times New Roman" w:cs="Times New Roman" w:eastAsia="Times New Roman" w:hAnsi="Times New Roman"/>
          <w:i w:val="1"/>
          <w:sz w:val="24"/>
          <w:szCs w:val="24"/>
          <w:rtl w:val="0"/>
        </w:rPr>
        <w:t xml:space="preserve">The New England Journal of Medicine</w:t>
      </w:r>
      <w:r w:rsidDel="00000000" w:rsidR="00000000" w:rsidRPr="00000000">
        <w:rPr>
          <w:rFonts w:ascii="Times New Roman" w:cs="Times New Roman" w:eastAsia="Times New Roman" w:hAnsi="Times New Roman"/>
          <w:sz w:val="24"/>
          <w:szCs w:val="24"/>
          <w:rtl w:val="0"/>
        </w:rPr>
        <w:t xml:space="preserve"> 278, no. 14 (1968): 796.</w:t>
      </w:r>
      <w:r w:rsidDel="00000000" w:rsidR="00000000" w:rsidRPr="00000000">
        <w:rPr>
          <w:rtl w:val="0"/>
        </w:rPr>
      </w:r>
    </w:p>
  </w:footnote>
  <w:footnote w:id="12">
    <w:p w:rsidR="00000000" w:rsidDel="00000000" w:rsidP="00000000" w:rsidRDefault="00000000" w:rsidRPr="00000000" w14:paraId="00000055">
      <w:pPr>
        <w:spacing w:line="240" w:lineRule="auto"/>
        <w:ind w:firstLine="720"/>
        <w:rPr>
          <w:rFonts w:ascii="Times New Roman" w:cs="Times New Roman" w:eastAsia="Times New Roman" w:hAnsi="Times New Roman"/>
          <w:sz w:val="24"/>
          <w:szCs w:val="24"/>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4"/>
          <w:szCs w:val="24"/>
          <w:rtl w:val="0"/>
        </w:rPr>
        <w:t xml:space="preserve">Ian Mosby, “‘That Won-Ton Soup Headache’: The Chinese Restarant Syndrome, MSG, and the Making of American Food, 1968-1980,” 136.</w:t>
      </w:r>
    </w:p>
  </w:footnote>
  <w:footnote w:id="13">
    <w:p w:rsidR="00000000" w:rsidDel="00000000" w:rsidP="00000000" w:rsidRDefault="00000000" w:rsidRPr="00000000" w14:paraId="00000056">
      <w:pPr>
        <w:spacing w:line="240" w:lineRule="auto"/>
        <w:ind w:firstLine="720"/>
        <w:rPr>
          <w:rFonts w:ascii="Times New Roman" w:cs="Times New Roman" w:eastAsia="Times New Roman" w:hAnsi="Times New Roman"/>
          <w:sz w:val="24"/>
          <w:szCs w:val="24"/>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4"/>
          <w:szCs w:val="24"/>
          <w:rtl w:val="0"/>
        </w:rPr>
        <w:t xml:space="preserve"> Mosby, “‘That Won-Ton Soup Headache,’” 136.</w:t>
      </w:r>
    </w:p>
  </w:footnote>
  <w:footnote w:id="14">
    <w:p w:rsidR="00000000" w:rsidDel="00000000" w:rsidP="00000000" w:rsidRDefault="00000000" w:rsidRPr="00000000" w14:paraId="00000057">
      <w:pPr>
        <w:spacing w:line="240" w:lineRule="auto"/>
        <w:ind w:firstLine="720"/>
        <w:rPr>
          <w:rFonts w:ascii="Times New Roman" w:cs="Times New Roman" w:eastAsia="Times New Roman" w:hAnsi="Times New Roman"/>
          <w:sz w:val="24"/>
          <w:szCs w:val="24"/>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4"/>
          <w:szCs w:val="24"/>
          <w:rtl w:val="0"/>
        </w:rPr>
        <w:t xml:space="preserve"> Sand, “A Short History of MSG: Good Science, Bad Science, and Taste Cultures,” 44.</w:t>
      </w:r>
    </w:p>
  </w:footnote>
  <w:footnote w:id="15">
    <w:p w:rsidR="00000000" w:rsidDel="00000000" w:rsidP="00000000" w:rsidRDefault="00000000" w:rsidRPr="00000000" w14:paraId="00000058">
      <w:pPr>
        <w:spacing w:line="240" w:lineRule="auto"/>
        <w:ind w:firstLine="720"/>
        <w:rPr>
          <w:rFonts w:ascii="Times New Roman" w:cs="Times New Roman" w:eastAsia="Times New Roman" w:hAnsi="Times New Roman"/>
          <w:sz w:val="24"/>
          <w:szCs w:val="24"/>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4"/>
          <w:szCs w:val="24"/>
          <w:rtl w:val="0"/>
        </w:rPr>
        <w:t xml:space="preserve"> John W. Olney,  “Brain Lesions, Obesity, and Other Disturbances in Mice Treated With</w:t>
      </w:r>
    </w:p>
    <w:p w:rsidR="00000000" w:rsidDel="00000000" w:rsidP="00000000" w:rsidRDefault="00000000" w:rsidRPr="00000000" w14:paraId="00000059">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Monosodium Glutamate,” </w:t>
      </w:r>
      <w:r w:rsidDel="00000000" w:rsidR="00000000" w:rsidRPr="00000000">
        <w:rPr>
          <w:rFonts w:ascii="Times New Roman" w:cs="Times New Roman" w:eastAsia="Times New Roman" w:hAnsi="Times New Roman"/>
          <w:i w:val="1"/>
          <w:sz w:val="24"/>
          <w:szCs w:val="24"/>
          <w:rtl w:val="0"/>
        </w:rPr>
        <w:t xml:space="preserve">Science</w:t>
      </w:r>
      <w:r w:rsidDel="00000000" w:rsidR="00000000" w:rsidRPr="00000000">
        <w:rPr>
          <w:rFonts w:ascii="Times New Roman" w:cs="Times New Roman" w:eastAsia="Times New Roman" w:hAnsi="Times New Roman"/>
          <w:sz w:val="24"/>
          <w:szCs w:val="24"/>
          <w:rtl w:val="0"/>
        </w:rPr>
        <w:t xml:space="preserve"> 164, no. 3880 (1969): 721.</w:t>
      </w:r>
    </w:p>
  </w:footnote>
  <w:footnote w:id="16">
    <w:p w:rsidR="00000000" w:rsidDel="00000000" w:rsidP="00000000" w:rsidRDefault="00000000" w:rsidRPr="00000000" w14:paraId="0000005A">
      <w:pPr>
        <w:spacing w:line="240" w:lineRule="auto"/>
        <w:ind w:firstLine="720"/>
        <w:rPr>
          <w:rFonts w:ascii="Times New Roman" w:cs="Times New Roman" w:eastAsia="Times New Roman" w:hAnsi="Times New Roman"/>
          <w:sz w:val="24"/>
          <w:szCs w:val="24"/>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4"/>
          <w:szCs w:val="24"/>
          <w:rtl w:val="0"/>
        </w:rPr>
        <w:t xml:space="preserve"> Sand, “A Short History of MSG: Good Science, Bad Science, and Taste Cultures,” 46.</w:t>
      </w:r>
    </w:p>
  </w:footnote>
  <w:footnote w:id="17">
    <w:p w:rsidR="00000000" w:rsidDel="00000000" w:rsidP="00000000" w:rsidRDefault="00000000" w:rsidRPr="00000000" w14:paraId="0000005B">
      <w:pPr>
        <w:spacing w:line="240" w:lineRule="auto"/>
        <w:ind w:firstLine="720"/>
        <w:rPr>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4"/>
          <w:szCs w:val="24"/>
          <w:rtl w:val="0"/>
        </w:rPr>
        <w:t xml:space="preserve"> Sam Kean, “The Rotten Science Behind the MSG Scare,” </w:t>
      </w:r>
      <w:r w:rsidDel="00000000" w:rsidR="00000000" w:rsidRPr="00000000">
        <w:rPr>
          <w:rFonts w:ascii="Times New Roman" w:cs="Times New Roman" w:eastAsia="Times New Roman" w:hAnsi="Times New Roman"/>
          <w:i w:val="1"/>
          <w:sz w:val="24"/>
          <w:szCs w:val="24"/>
          <w:rtl w:val="0"/>
        </w:rPr>
        <w:t xml:space="preserve">Science History Institute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last modified March 2, 2023, https://www.sciencehistory.org/stories/magazine/the-rotten-science-behind-the-msg-scare/</w:t>
      </w:r>
      <w:r w:rsidDel="00000000" w:rsidR="00000000" w:rsidRPr="00000000">
        <w:rPr>
          <w:rtl w:val="0"/>
        </w:rPr>
      </w:r>
    </w:p>
  </w:footnote>
  <w:footnote w:id="18">
    <w:p w:rsidR="00000000" w:rsidDel="00000000" w:rsidP="00000000" w:rsidRDefault="00000000" w:rsidRPr="00000000" w14:paraId="0000005C">
      <w:pPr>
        <w:spacing w:line="240" w:lineRule="auto"/>
        <w:ind w:firstLine="720"/>
        <w:rPr>
          <w:rFonts w:ascii="Times New Roman" w:cs="Times New Roman" w:eastAsia="Times New Roman" w:hAnsi="Times New Roman"/>
          <w:sz w:val="24"/>
          <w:szCs w:val="24"/>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4"/>
          <w:szCs w:val="24"/>
          <w:rtl w:val="0"/>
        </w:rPr>
        <w:t xml:space="preserve"> Mosby, “‘That Won-Ton Soup Headache,’” 144.</w:t>
      </w:r>
    </w:p>
  </w:footnote>
  <w:footnote w:id="19">
    <w:p w:rsidR="00000000" w:rsidDel="00000000" w:rsidP="00000000" w:rsidRDefault="00000000" w:rsidRPr="00000000" w14:paraId="0000005D">
      <w:pPr>
        <w:spacing w:line="240" w:lineRule="auto"/>
        <w:ind w:firstLine="720"/>
        <w:rPr>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4"/>
          <w:szCs w:val="24"/>
          <w:rtl w:val="0"/>
        </w:rPr>
        <w:t xml:space="preserve"> Richard D. Lyonsspecial, “Health Aides Tell Chinese Eateries To Curb MSG Use,” </w:t>
      </w:r>
      <w:r w:rsidDel="00000000" w:rsidR="00000000" w:rsidRPr="00000000">
        <w:rPr>
          <w:rFonts w:ascii="Times New Roman" w:cs="Times New Roman" w:eastAsia="Times New Roman" w:hAnsi="Times New Roman"/>
          <w:i w:val="1"/>
          <w:sz w:val="24"/>
          <w:szCs w:val="24"/>
          <w:rtl w:val="0"/>
        </w:rPr>
        <w:t xml:space="preserve">New York Times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last modified November 13, 1969, https://www.nytimes.com/1969/11/13/archives/health-aides-tell-chinese-eateries-to-curb-msg-use.html</w:t>
      </w:r>
      <w:r w:rsidDel="00000000" w:rsidR="00000000" w:rsidRPr="00000000">
        <w:rPr>
          <w:rtl w:val="0"/>
        </w:rPr>
      </w:r>
    </w:p>
  </w:footnote>
  <w:footnote w:id="21">
    <w:p w:rsidR="00000000" w:rsidDel="00000000" w:rsidP="00000000" w:rsidRDefault="00000000" w:rsidRPr="00000000" w14:paraId="0000005E">
      <w:pPr>
        <w:spacing w:line="240" w:lineRule="auto"/>
        <w:ind w:firstLine="720"/>
        <w:rPr>
          <w:rFonts w:ascii="Times New Roman" w:cs="Times New Roman" w:eastAsia="Times New Roman" w:hAnsi="Times New Roman"/>
          <w:sz w:val="24"/>
          <w:szCs w:val="24"/>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4"/>
          <w:szCs w:val="24"/>
          <w:rtl w:val="0"/>
        </w:rPr>
        <w:t xml:space="preserve"> Mosby, “‘That Won-Ton Soup Headache,’” 135.</w:t>
      </w:r>
    </w:p>
  </w:footnote>
  <w:footnote w:id="22">
    <w:p w:rsidR="00000000" w:rsidDel="00000000" w:rsidP="00000000" w:rsidRDefault="00000000" w:rsidRPr="00000000" w14:paraId="0000005F">
      <w:pPr>
        <w:spacing w:line="240" w:lineRule="auto"/>
        <w:ind w:firstLine="720"/>
        <w:rPr>
          <w:rFonts w:ascii="Times New Roman" w:cs="Times New Roman" w:eastAsia="Times New Roman" w:hAnsi="Times New Roman"/>
          <w:sz w:val="24"/>
          <w:szCs w:val="24"/>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4"/>
          <w:szCs w:val="24"/>
          <w:rtl w:val="0"/>
        </w:rPr>
        <w:t xml:space="preserve"> Mosby, “‘That Won-Ton Soup Headache,’” 134.</w:t>
      </w:r>
      <w:r w:rsidDel="00000000" w:rsidR="00000000" w:rsidRPr="00000000">
        <w:rPr>
          <w:rtl w:val="0"/>
        </w:rPr>
      </w:r>
    </w:p>
  </w:footnote>
  <w:footnote w:id="23">
    <w:p w:rsidR="00000000" w:rsidDel="00000000" w:rsidP="00000000" w:rsidRDefault="00000000" w:rsidRPr="00000000" w14:paraId="00000060">
      <w:pPr>
        <w:spacing w:line="240" w:lineRule="auto"/>
        <w:ind w:firstLine="720"/>
        <w:rPr>
          <w:rFonts w:ascii="Times New Roman" w:cs="Times New Roman" w:eastAsia="Times New Roman" w:hAnsi="Times New Roman"/>
          <w:sz w:val="24"/>
          <w:szCs w:val="24"/>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4"/>
          <w:szCs w:val="24"/>
          <w:rtl w:val="0"/>
        </w:rPr>
        <w:t xml:space="preserve">Adrienne Samuels, “The Toxicity/Safety of Processed Free Glutamic Acid (MSG): A Study in Suppression of Information,” </w:t>
      </w:r>
      <w:r w:rsidDel="00000000" w:rsidR="00000000" w:rsidRPr="00000000">
        <w:rPr>
          <w:rFonts w:ascii="Times New Roman" w:cs="Times New Roman" w:eastAsia="Times New Roman" w:hAnsi="Times New Roman"/>
          <w:i w:val="1"/>
          <w:sz w:val="24"/>
          <w:szCs w:val="24"/>
          <w:rtl w:val="0"/>
        </w:rPr>
        <w:t xml:space="preserve">Accountability in Research</w:t>
      </w:r>
      <w:r w:rsidDel="00000000" w:rsidR="00000000" w:rsidRPr="00000000">
        <w:rPr>
          <w:rFonts w:ascii="Times New Roman" w:cs="Times New Roman" w:eastAsia="Times New Roman" w:hAnsi="Times New Roman"/>
          <w:sz w:val="24"/>
          <w:szCs w:val="24"/>
          <w:rtl w:val="0"/>
        </w:rPr>
        <w:t xml:space="preserve"> 6, no. 4 (1999): 259–310.</w:t>
      </w:r>
    </w:p>
  </w:footnote>
  <w:footnote w:id="24">
    <w:p w:rsidR="00000000" w:rsidDel="00000000" w:rsidP="00000000" w:rsidRDefault="00000000" w:rsidRPr="00000000" w14:paraId="00000061">
      <w:pPr>
        <w:spacing w:line="240" w:lineRule="auto"/>
        <w:ind w:firstLine="720"/>
        <w:rPr>
          <w:rFonts w:ascii="Times New Roman" w:cs="Times New Roman" w:eastAsia="Times New Roman" w:hAnsi="Times New Roman"/>
          <w:sz w:val="24"/>
          <w:szCs w:val="24"/>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4"/>
          <w:szCs w:val="24"/>
          <w:rtl w:val="0"/>
        </w:rPr>
        <w:t xml:space="preserve"> Mosby, “‘That Won-Ton Soup Headache,’” 143.</w:t>
      </w:r>
    </w:p>
  </w:footnote>
  <w:footnote w:id="20">
    <w:p w:rsidR="00000000" w:rsidDel="00000000" w:rsidP="00000000" w:rsidRDefault="00000000" w:rsidRPr="00000000" w14:paraId="00000065">
      <w:pPr>
        <w:spacing w:line="240" w:lineRule="auto"/>
        <w:ind w:firstLine="720"/>
        <w:rPr>
          <w:rFonts w:ascii="Times New Roman" w:cs="Times New Roman" w:eastAsia="Times New Roman" w:hAnsi="Times New Roman"/>
          <w:sz w:val="24"/>
          <w:szCs w:val="24"/>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4"/>
          <w:szCs w:val="24"/>
          <w:rtl w:val="0"/>
        </w:rPr>
        <w:t xml:space="preserve"> Mosby, “‘That Won-Ton Soup Headache,’” 144.</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Lee </w:t>
    </w: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