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Past, Present and Future of Pan-Africanism</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Tanaka Makoni</w:t>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 101: Imagining Africa</w:t>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17, 2024</w:t>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the turn of the century, the transnational hopes of the Pan-African movement have waned in the face of ongoing inequality and fragmentation across the continent. However, a new wave of contemporary scholarship seeks to revive the Pan-African movement, pushing for a more inclusive and radical approach to decolonization. Adom Getachew is one such scholar whose book, </w:t>
      </w:r>
      <w:r w:rsidDel="00000000" w:rsidR="00000000" w:rsidRPr="00000000">
        <w:rPr>
          <w:rFonts w:ascii="Times New Roman" w:cs="Times New Roman" w:eastAsia="Times New Roman" w:hAnsi="Times New Roman"/>
          <w:i w:val="1"/>
          <w:sz w:val="24"/>
          <w:szCs w:val="24"/>
          <w:rtl w:val="0"/>
        </w:rPr>
        <w:t xml:space="preserve">Worldmaking after Empire</w:t>
      </w:r>
      <w:r w:rsidDel="00000000" w:rsidR="00000000" w:rsidRPr="00000000">
        <w:rPr>
          <w:rFonts w:ascii="Times New Roman" w:cs="Times New Roman" w:eastAsia="Times New Roman" w:hAnsi="Times New Roman"/>
          <w:sz w:val="24"/>
          <w:szCs w:val="24"/>
          <w:rtl w:val="0"/>
        </w:rPr>
        <w:t xml:space="preserve">, seeks to reconcile 20th-century anti-colonial nationalism with internationalist aspirations, positioning Pan-Africanism in opposition to the enduring hegemony of European imperialists.</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Sylvia Tamale is another student of this era, whose work explores the need for a feminist lens in understanding and addressing the legacies of colonialism, patriarchy, and racism in Africa. In </w:t>
      </w:r>
      <w:r w:rsidDel="00000000" w:rsidR="00000000" w:rsidRPr="00000000">
        <w:rPr>
          <w:rFonts w:ascii="Times New Roman" w:cs="Times New Roman" w:eastAsia="Times New Roman" w:hAnsi="Times New Roman"/>
          <w:i w:val="1"/>
          <w:sz w:val="24"/>
          <w:szCs w:val="24"/>
          <w:rtl w:val="0"/>
        </w:rPr>
        <w:t xml:space="preserve">Decolonization and Afro-Feminism,</w:t>
      </w:r>
      <w:r w:rsidDel="00000000" w:rsidR="00000000" w:rsidRPr="00000000">
        <w:rPr>
          <w:rFonts w:ascii="Times New Roman" w:cs="Times New Roman" w:eastAsia="Times New Roman" w:hAnsi="Times New Roman"/>
          <w:sz w:val="24"/>
          <w:szCs w:val="24"/>
          <w:rtl w:val="0"/>
        </w:rPr>
        <w:t xml:space="preserve"> she provides an account of Pan-Africanism that not only foregrounds the agency and experiences of women but also highlights the various ways in which they have been excluded from the mainstream Pan-African narrative. For Tamale, this oversight is not merely an exclusion of women but a reflection of the failure of Pan-Africanism to fully reject the Eurocentric worldview; that underpins much of its theoretical foundation. By drawing on work such as Walter Rodney’s </w:t>
      </w:r>
      <w:r w:rsidDel="00000000" w:rsidR="00000000" w:rsidRPr="00000000">
        <w:rPr>
          <w:rFonts w:ascii="Times New Roman" w:cs="Times New Roman" w:eastAsia="Times New Roman" w:hAnsi="Times New Roman"/>
          <w:i w:val="1"/>
          <w:sz w:val="24"/>
          <w:szCs w:val="24"/>
          <w:rtl w:val="0"/>
        </w:rPr>
        <w:t xml:space="preserve">How Europe Underdeveloped Africa</w:t>
      </w:r>
      <w:r w:rsidDel="00000000" w:rsidR="00000000" w:rsidRPr="00000000">
        <w:rPr>
          <w:rFonts w:ascii="Times New Roman" w:cs="Times New Roman" w:eastAsia="Times New Roman" w:hAnsi="Times New Roman"/>
          <w:sz w:val="24"/>
          <w:szCs w:val="24"/>
          <w:rtl w:val="0"/>
        </w:rPr>
        <w:t xml:space="preserve">, Tamale develops a nuanced critique of Pan-Africanism, which offers new ways to understand its failures and begins the necessary steps for its revival.</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While these insights may be overlooked at first glance, this analysis seeks to underscore and amplify this critical aspect of Tamale’s work.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begin, Tamale critiques Pan-Africanist literature for its consistent marginalization of women’s contributions to the movement. She points out a significant gap in the historical narrative of Pan-Africanism, where the pivotal roles played by key female figures like Alice Kinloch, Jeanne and Paulette Nardal, and Madam C. J. Walker are either ignored or relegated to the margins. These women were not just passive participants but instrumental in shaping the direction and progression of the movement, yet their efforts are often overlooked in favor of the narratives of their male counterparts. Tamale highlights the persistent gender bias within the Pan-Africanist tradition, emphasizing that "women are excluded from the spotlight and male-dominated narratives omit their contributions."</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rtl w:val="0"/>
        </w:rPr>
        <w:t xml:space="preserve"> Tamale argues that this is evidence of an uncritical acceptance of European ideas about gender. She contends that the widespread influence of male-dominated narratives in Pan-Africanism inadvertently perpetuates </w:t>
      </w:r>
      <w:r w:rsidDel="00000000" w:rsidR="00000000" w:rsidRPr="00000000">
        <w:rPr>
          <w:rFonts w:ascii="Times New Roman" w:cs="Times New Roman" w:eastAsia="Times New Roman" w:hAnsi="Times New Roman"/>
          <w:sz w:val="24"/>
          <w:szCs w:val="24"/>
          <w:rtl w:val="0"/>
        </w:rPr>
        <w:t xml:space="preserve">"gendered racism," a term Tamale uses to describe the subtlety with which these hegemonic ideas are internalized, resulting in the disappearance of women’s contributions.</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9">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Getachew’s work, </w:t>
      </w:r>
      <w:r w:rsidDel="00000000" w:rsidR="00000000" w:rsidRPr="00000000">
        <w:rPr>
          <w:rFonts w:ascii="Times New Roman" w:cs="Times New Roman" w:eastAsia="Times New Roman" w:hAnsi="Times New Roman"/>
          <w:i w:val="1"/>
          <w:sz w:val="24"/>
          <w:szCs w:val="24"/>
          <w:rtl w:val="0"/>
        </w:rPr>
        <w:t xml:space="preserve">Worldmaking After Empire</w:t>
      </w:r>
      <w:r w:rsidDel="00000000" w:rsidR="00000000" w:rsidRPr="00000000">
        <w:rPr>
          <w:rFonts w:ascii="Times New Roman" w:cs="Times New Roman" w:eastAsia="Times New Roman" w:hAnsi="Times New Roman"/>
          <w:sz w:val="24"/>
          <w:szCs w:val="24"/>
          <w:rtl w:val="0"/>
        </w:rPr>
        <w:t xml:space="preserve">, is one such example of the tendency in Pan-African literature to favor male-centered accounts. In this work, Getachew provides a comprehensive account of the progression of Pan-African thought. However, in her account, Getachew exclusively </w:t>
      </w:r>
      <w:r w:rsidDel="00000000" w:rsidR="00000000" w:rsidRPr="00000000">
        <w:rPr>
          <w:rFonts w:ascii="Times New Roman" w:cs="Times New Roman" w:eastAsia="Times New Roman" w:hAnsi="Times New Roman"/>
          <w:sz w:val="24"/>
          <w:szCs w:val="24"/>
          <w:rtl w:val="0"/>
        </w:rPr>
        <w:t xml:space="preserve">focuses</w:t>
      </w:r>
      <w:r w:rsidDel="00000000" w:rsidR="00000000" w:rsidRPr="00000000">
        <w:rPr>
          <w:rFonts w:ascii="Times New Roman" w:cs="Times New Roman" w:eastAsia="Times New Roman" w:hAnsi="Times New Roman"/>
          <w:sz w:val="24"/>
          <w:szCs w:val="24"/>
          <w:rtl w:val="0"/>
        </w:rPr>
        <w:t xml:space="preserve"> on the contributions of male figures such as Nnamdi Azikiwe, W.E.B. Du Bois, Michael Manley, Kwame Nkrumah, Julius Nyerere, and George Padmore, among others.</w:t>
      </w:r>
      <w:r w:rsidDel="00000000" w:rsidR="00000000" w:rsidRPr="00000000">
        <w:rPr>
          <w:rFonts w:ascii="Times New Roman" w:cs="Times New Roman" w:eastAsia="Times New Roman" w:hAnsi="Times New Roman"/>
          <w:sz w:val="24"/>
          <w:szCs w:val="24"/>
          <w:vertAlign w:val="superscript"/>
        </w:rPr>
        <w:footnoteReference w:customMarkFollows="0" w:id="4"/>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While these figures undeniably played significant roles in shaping Pan-Africanism, Getachew’s narrative fails to recognize the efforts of female contributors. </w:t>
      </w:r>
      <w:r w:rsidDel="00000000" w:rsidR="00000000" w:rsidRPr="00000000">
        <w:rPr>
          <w:rFonts w:ascii="Times New Roman" w:cs="Times New Roman" w:eastAsia="Times New Roman" w:hAnsi="Times New Roman"/>
          <w:sz w:val="24"/>
          <w:szCs w:val="24"/>
          <w:rtl w:val="0"/>
        </w:rPr>
        <w:t xml:space="preserve">As Tamale points out, this is yet another case in which the contributions of women are marginalized</w:t>
      </w:r>
      <w:r w:rsidDel="00000000" w:rsidR="00000000" w:rsidRPr="00000000">
        <w:rPr>
          <w:rFonts w:ascii="Times New Roman" w:cs="Times New Roman" w:eastAsia="Times New Roman" w:hAnsi="Times New Roman"/>
          <w:sz w:val="24"/>
          <w:szCs w:val="24"/>
          <w:rtl w:val="0"/>
        </w:rPr>
        <w:t xml:space="preserve">. This pattern of exclusion on the basis of gender is not a critique laid exclusively against Getachew but instead reflects a broader trend in Pan-African literature. Tamale's feminist analysis of Pan-Africanism reveals how colonial-era gender hierarchies persist in shaping African political ideologies and practices, even after independence. This approach exposes the nuanced yet pervasive influence of colonial gender norms on contemporary African political discourse. Tamale herself does not explicitly critique Getachew, but reading </w:t>
      </w:r>
      <w:r w:rsidDel="00000000" w:rsidR="00000000" w:rsidRPr="00000000">
        <w:rPr>
          <w:rFonts w:ascii="Times New Roman" w:cs="Times New Roman" w:eastAsia="Times New Roman" w:hAnsi="Times New Roman"/>
          <w:i w:val="1"/>
          <w:sz w:val="24"/>
          <w:szCs w:val="24"/>
          <w:rtl w:val="0"/>
        </w:rPr>
        <w:t xml:space="preserve">Worldmaking After Empire</w:t>
      </w:r>
      <w:r w:rsidDel="00000000" w:rsidR="00000000" w:rsidRPr="00000000">
        <w:rPr>
          <w:rFonts w:ascii="Times New Roman" w:cs="Times New Roman" w:eastAsia="Times New Roman" w:hAnsi="Times New Roman"/>
          <w:sz w:val="24"/>
          <w:szCs w:val="24"/>
          <w:rtl w:val="0"/>
        </w:rPr>
        <w:t xml:space="preserve"> after Tamale’s </w:t>
      </w:r>
      <w:r w:rsidDel="00000000" w:rsidR="00000000" w:rsidRPr="00000000">
        <w:rPr>
          <w:rFonts w:ascii="Times New Roman" w:cs="Times New Roman" w:eastAsia="Times New Roman" w:hAnsi="Times New Roman"/>
          <w:i w:val="1"/>
          <w:sz w:val="24"/>
          <w:szCs w:val="24"/>
          <w:rtl w:val="0"/>
        </w:rPr>
        <w:t xml:space="preserve">Decolonization and Afro-Feminism</w:t>
      </w:r>
      <w:r w:rsidDel="00000000" w:rsidR="00000000" w:rsidRPr="00000000">
        <w:rPr>
          <w:rFonts w:ascii="Times New Roman" w:cs="Times New Roman" w:eastAsia="Times New Roman" w:hAnsi="Times New Roman"/>
          <w:sz w:val="24"/>
          <w:szCs w:val="24"/>
          <w:rtl w:val="0"/>
        </w:rPr>
        <w:t xml:space="preserve"> reveals this blind spot in Getachew’s work. Tamale only cites Getachew positively,</w:t>
      </w:r>
      <w:r w:rsidDel="00000000" w:rsidR="00000000" w:rsidRPr="00000000">
        <w:rPr>
          <w:rFonts w:ascii="Times New Roman" w:cs="Times New Roman" w:eastAsia="Times New Roman" w:hAnsi="Times New Roman"/>
          <w:sz w:val="24"/>
          <w:szCs w:val="24"/>
          <w:rtl w:val="0"/>
        </w:rPr>
        <w:t xml:space="preserve"> engaging with her critique of modeling Africa after American federalism</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is important to note because it highlights that Tamale does not seem to believe this exclusion of women reflects a deliberate effort by Getachew but rather is a consequence of years of reinforcement. Further, the fact that Tamale does not reference any specific authors indicates that she does not want to assign blame but rather intends to emphasize the widespread nature of this elusive problem. These dominant frameworks are so deeply embedded in Pan-African thinking that even the most well-intentioned writers will have traces of such biases in their work. </w:t>
      </w:r>
    </w:p>
    <w:p w:rsidR="00000000" w:rsidDel="00000000" w:rsidP="00000000" w:rsidRDefault="00000000" w:rsidRPr="00000000" w14:paraId="0000001A">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Moreover, Tamale’s critique extends beyond the immediate issue of gendered exclusion to address a greater concern, which is the romanticization of Pan-Africanism. She argues that, for too long, decolonial thinkers have been captivated by the idea of liberation, often overlooking the challenges that have halted the movement's </w:t>
      </w:r>
      <w:r w:rsidDel="00000000" w:rsidR="00000000" w:rsidRPr="00000000">
        <w:rPr>
          <w:rFonts w:ascii="Times New Roman" w:cs="Times New Roman" w:eastAsia="Times New Roman" w:hAnsi="Times New Roman"/>
          <w:sz w:val="24"/>
          <w:szCs w:val="24"/>
          <w:rtl w:val="0"/>
        </w:rPr>
        <w:t xml:space="preserve">progress. </w:t>
      </w:r>
      <w:r w:rsidDel="00000000" w:rsidR="00000000" w:rsidRPr="00000000">
        <w:rPr>
          <w:rFonts w:ascii="Times New Roman" w:cs="Times New Roman" w:eastAsia="Times New Roman" w:hAnsi="Times New Roman"/>
          <w:sz w:val="24"/>
          <w:szCs w:val="24"/>
          <w:rtl w:val="0"/>
        </w:rPr>
        <w:t xml:space="preserve">She writes, “issues of race featured prominently at the post-Manchester meetings but their resolutions remained silent on sexism and other –isms that adversely affected millions of marginalized social groups on the continent.” She extends this line of reasoning, critiquing that at present Pan-Africanism “is essentially robed in patriarchal garb busy espousing hetero-patriarchal values.”</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By romanticizing Pan-Africanism, many of the historical narratives of Pan-Africanism emphasize the heroism of male leaders, ignoring the complex realities of Pan-African movements, particularly the exclusion of women. Tamale critiques the celebration of Pan-Africanism as a unifying force that transcends historical oppression, arguing that it fails to address the enduring legacies of imperialism that continue to shape power structures within African societies. She argues that this romanticization blinds Pan-African writers, thinkers, and leaders to the traces of coloniality embedded in Pan-African thinking. In this sense, Pan-Africanism becomes more about the aspiration for freedom than about actual engagement with persisting structures of oppression, and Tamale’s work develops a critical consciousness that highlights these internal tensions within Pan-African theory.</w:t>
      </w:r>
    </w:p>
    <w:p w:rsidR="00000000" w:rsidDel="00000000" w:rsidP="00000000" w:rsidRDefault="00000000" w:rsidRPr="00000000" w14:paraId="0000001B">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What begins as an initial analysis of the movement’s gender bias opens up a wider conversation about how Pan-Africanism has been guilty of buying into patterns of coloniality. Tamale defines coloniality as the “invisible power structure that sustains colonial relations of exploitation and domination long after the end of direct colonialism.”</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She argues this has hindered the movement’s potential to fully address the systemic inequities that continue to affect African</w:t>
      </w:r>
      <w:r w:rsidDel="00000000" w:rsidR="00000000" w:rsidRPr="00000000">
        <w:rPr>
          <w:rFonts w:ascii="Times New Roman" w:cs="Times New Roman" w:eastAsia="Times New Roman" w:hAnsi="Times New Roman"/>
          <w:sz w:val="24"/>
          <w:szCs w:val="24"/>
          <w:rtl w:val="0"/>
        </w:rPr>
        <w:t xml:space="preserve"> societies.</w:t>
      </w:r>
      <w:r w:rsidDel="00000000" w:rsidR="00000000" w:rsidRPr="00000000">
        <w:rPr>
          <w:rFonts w:ascii="Times New Roman" w:cs="Times New Roman" w:eastAsia="Times New Roman" w:hAnsi="Times New Roman"/>
          <w:sz w:val="24"/>
          <w:szCs w:val="24"/>
          <w:rtl w:val="0"/>
        </w:rPr>
        <w:t xml:space="preserve"> Today, coloniality lives on in the form of globalized neocolonialism, which continues to weaken the nation-state and thus hinder Africa’s ability to unify. She writes, “the dominance and pervasiveness of coloniality in the modern world is so fundamental it has shaped the way the world perceives us and most of us have in turn internalized its constructions of who we are.”</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For a movement that revolves around the unification of the continent, such a failure rocks its very foundations, revealing deep flaws. Her ultimate argument is that Pan-Africanism has failed to fully extricate itself from the colonial mindset. Therefore, Tamale’s critique challenges Pan-African thinkers to move beyond glamorizing Pan-Africanism and instead to begin the necessary reform to resolve these shortcomings. To achieve this, lingering traces of colonial thought must be identified, confronted, and rejected. One element of achieving this is rewriting a corrected account of the movement’s progression that includes women.</w:t>
      </w:r>
    </w:p>
    <w:p w:rsidR="00000000" w:rsidDel="00000000" w:rsidP="00000000" w:rsidRDefault="00000000" w:rsidRPr="00000000" w14:paraId="0000001C">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her work, Tamale engages with Walter Rodney as an example of a scholar who focused on challenging this romanticized view of Pan-Africanism in favour of a “historical-materialistic analysis” of the economic system. In </w:t>
      </w:r>
      <w:r w:rsidDel="00000000" w:rsidR="00000000" w:rsidRPr="00000000">
        <w:rPr>
          <w:rFonts w:ascii="Times New Roman" w:cs="Times New Roman" w:eastAsia="Times New Roman" w:hAnsi="Times New Roman"/>
          <w:i w:val="1"/>
          <w:sz w:val="24"/>
          <w:szCs w:val="24"/>
          <w:rtl w:val="0"/>
        </w:rPr>
        <w:t xml:space="preserve">How Europe Underdeveloped</w:t>
      </w:r>
      <w:r w:rsidDel="00000000" w:rsidR="00000000" w:rsidRPr="00000000">
        <w:rPr>
          <w:rFonts w:ascii="Times New Roman" w:cs="Times New Roman" w:eastAsia="Times New Roman" w:hAnsi="Times New Roman"/>
          <w:sz w:val="24"/>
          <w:szCs w:val="24"/>
          <w:rtl w:val="0"/>
        </w:rPr>
        <w:t xml:space="preserve"> Africa, Rodney presents a rigorous analysis of the continent's economic state and the exploitative relationships that underpin Africa’s underdevelopment. In particular, Rodney explores the difference in material conditions between Europe and Africa, which created the dramatic economic inequality between the two continents: a phenomenon Rodney names “the paradox of underdevelopment.”</w:t>
      </w:r>
      <w:r w:rsidDel="00000000" w:rsidR="00000000" w:rsidRPr="00000000">
        <w:rPr>
          <w:rFonts w:ascii="Times New Roman" w:cs="Times New Roman" w:eastAsia="Times New Roman" w:hAnsi="Times New Roman"/>
          <w:sz w:val="24"/>
          <w:szCs w:val="24"/>
          <w:vertAlign w:val="superscript"/>
        </w:rPr>
        <w:footnoteReference w:customMarkFollows="0" w:id="8"/>
      </w:r>
      <w:r w:rsidDel="00000000" w:rsidR="00000000" w:rsidRPr="00000000">
        <w:rPr>
          <w:rFonts w:ascii="Times New Roman" w:cs="Times New Roman" w:eastAsia="Times New Roman" w:hAnsi="Times New Roman"/>
          <w:sz w:val="24"/>
          <w:szCs w:val="24"/>
          <w:rtl w:val="0"/>
        </w:rPr>
        <w:t xml:space="preserve"> How is it that resource-rich countries are the poorest in terms of goods and services provided for their citizens? Rodney believes that if we can understand the origins of underdevelopment and answer this question, the continent can begin its journey toward development. </w:t>
      </w:r>
    </w:p>
    <w:p w:rsidR="00000000" w:rsidDel="00000000" w:rsidP="00000000" w:rsidRDefault="00000000" w:rsidRPr="00000000" w14:paraId="0000001D">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explanation provided by European scholarship for the paradox of underdevelopment is one pervaded by inherently racist undertones, which present this phenomenon as “God-given.” Such sentiments suggest the existence of an innate racial superiority of the Western world over an economically underdeveloped Africa. The even bigger problem that Rodney highlights is the cultural and psychological crisis that has led Africans to accept such prejudiced thinking. As Rodney explains, this means that the “African himself has doubts about his capacity to transform and develop his natural environment.”</w:t>
      </w:r>
      <w:r w:rsidDel="00000000" w:rsidR="00000000" w:rsidRPr="00000000">
        <w:rPr>
          <w:rFonts w:ascii="Times New Roman" w:cs="Times New Roman" w:eastAsia="Times New Roman" w:hAnsi="Times New Roman"/>
          <w:sz w:val="24"/>
          <w:szCs w:val="24"/>
          <w:vertAlign w:val="superscript"/>
        </w:rPr>
        <w:footnoteReference w:customMarkFollows="0" w:id="9"/>
      </w:r>
      <w:r w:rsidDel="00000000" w:rsidR="00000000" w:rsidRPr="00000000">
        <w:rPr>
          <w:rFonts w:ascii="Times New Roman" w:cs="Times New Roman" w:eastAsia="Times New Roman" w:hAnsi="Times New Roman"/>
          <w:sz w:val="24"/>
          <w:szCs w:val="24"/>
          <w:rtl w:val="0"/>
        </w:rPr>
        <w:t xml:space="preserve"> Rodney argues that the true explanation for African underdevelopment lies in the exploitative relationship between Africa and the developed world. This exploitation is in the form of Western ownership of African means of production and the establishment of Western puppets in positions of authority. This denies Africans their right to autonomy and makes them unable to escape exploitation. The question thus becomes how Africa can regain control of its means of production and chart a path toward development. </w:t>
      </w:r>
    </w:p>
    <w:p w:rsidR="00000000" w:rsidDel="00000000" w:rsidP="00000000" w:rsidRDefault="00000000" w:rsidRPr="00000000" w14:paraId="0000001E">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To move forward with any future Pan-African project, African Scholars must actively engage with overlooked perspectives to build a more inclusive movement that reflects the diversity of African experiences. By doing so, Pan-Africanism can shift its focus to not only challenging imperialism but also dismantling internal hierarchies and gendered oppressions that persist within African societies. This reframing will help the movement more effectively address both external and internal colonial legacies, fostering a more holistic approach to African emancipation. Furthermore, when </w:t>
      </w:r>
      <w:r w:rsidDel="00000000" w:rsidR="00000000" w:rsidRPr="00000000">
        <w:rPr>
          <w:rFonts w:ascii="Times New Roman" w:cs="Times New Roman" w:eastAsia="Times New Roman" w:hAnsi="Times New Roman"/>
          <w:i w:val="1"/>
          <w:sz w:val="24"/>
          <w:szCs w:val="24"/>
          <w:rtl w:val="0"/>
        </w:rPr>
        <w:t xml:space="preserve">Worldmaking after Empire, Decolonization and Afro-Feminism </w:t>
      </w:r>
      <w:r w:rsidDel="00000000" w:rsidR="00000000" w:rsidRPr="00000000">
        <w:rPr>
          <w:rFonts w:ascii="Times New Roman" w:cs="Times New Roman" w:eastAsia="Times New Roman" w:hAnsi="Times New Roman"/>
          <w:sz w:val="24"/>
          <w:szCs w:val="24"/>
          <w:rtl w:val="0"/>
        </w:rPr>
        <w:t xml:space="preserve">and</w:t>
      </w:r>
      <w:r w:rsidDel="00000000" w:rsidR="00000000" w:rsidRPr="00000000">
        <w:rPr>
          <w:rFonts w:ascii="Times New Roman" w:cs="Times New Roman" w:eastAsia="Times New Roman" w:hAnsi="Times New Roman"/>
          <w:i w:val="1"/>
          <w:sz w:val="24"/>
          <w:szCs w:val="24"/>
          <w:rtl w:val="0"/>
        </w:rPr>
        <w:t xml:space="preserve"> How Europe Underdeveloped</w:t>
      </w:r>
      <w:r w:rsidDel="00000000" w:rsidR="00000000" w:rsidRPr="00000000">
        <w:rPr>
          <w:rFonts w:ascii="Times New Roman" w:cs="Times New Roman" w:eastAsia="Times New Roman" w:hAnsi="Times New Roman"/>
          <w:sz w:val="24"/>
          <w:szCs w:val="24"/>
          <w:rtl w:val="0"/>
        </w:rPr>
        <w:t xml:space="preserve"> Africa are considered</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together, they highlight the need to reject Eurocentric worldviews—whether they manifest in gendered oppression or economic exploitation. By uniting these critiques, we gain a more layered understanding of Pan-Africanism that allows us to move beyond romanticized notions of freedom. Instead, by actively engaging with the material realities that continue to shape the lives of Africans, we can pave the way for a more inclusive, transformative, and self-sustaining future for Africa.</w:t>
      </w:r>
    </w:p>
    <w:p w:rsidR="00000000" w:rsidDel="00000000" w:rsidP="00000000" w:rsidRDefault="00000000" w:rsidRPr="00000000" w14:paraId="0000001F">
      <w:pPr>
        <w:spacing w:line="480" w:lineRule="auto"/>
        <w:ind w:left="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0">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Bibliography</w:t>
      </w:r>
    </w:p>
    <w:p w:rsidR="00000000" w:rsidDel="00000000" w:rsidP="00000000" w:rsidRDefault="00000000" w:rsidRPr="00000000" w14:paraId="00000021">
      <w:pPr>
        <w:spacing w:line="480" w:lineRule="auto"/>
        <w:ind w:left="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Getachew, Adom. “Worldmaking After Empire: The Rise and Fall of Self-Determination,” </w:t>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Princeton University Press 2019.</w:t>
      </w:r>
    </w:p>
    <w:p w:rsidR="00000000" w:rsidDel="00000000" w:rsidP="00000000" w:rsidRDefault="00000000" w:rsidRPr="00000000" w14:paraId="00000024">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Rodney, Walter, and Abdul Rahman Mohamed Babu. How Europe Underdeveloped Africa. </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Washington: Howard University Press, 1974.</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Tamale, Sylvia. Decolonization and Afro-Feminism. Ottawa: Dajara Press, 2020.</w:t>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adhered to the Davidson Honor Code in carrying out this assignment. I want to thank Oriana Torrealba, Kian Sarkar and Dominic Rusciolelli for their help and advice on my central claim, as well as Frank Edonga for assistance with organization and structure.</w:t>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480" w:lineRule="auto"/>
        <w:ind w:lef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sectPr>
      <w:headerReference r:id="rId7" w:type="default"/>
      <w:headerReference r:id="rId8"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35">
      <w:pPr>
        <w:spacing w:line="240" w:lineRule="auto"/>
        <w:ind w:firstLine="720"/>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Tamale, </w:t>
      </w:r>
      <w:r w:rsidDel="00000000" w:rsidR="00000000" w:rsidRPr="00000000">
        <w:rPr>
          <w:rFonts w:ascii="Times New Roman" w:cs="Times New Roman" w:eastAsia="Times New Roman" w:hAnsi="Times New Roman"/>
          <w:i w:val="1"/>
          <w:sz w:val="20"/>
          <w:szCs w:val="20"/>
          <w:rtl w:val="0"/>
        </w:rPr>
        <w:t xml:space="preserve">Decolonization</w:t>
      </w:r>
      <w:r w:rsidDel="00000000" w:rsidR="00000000" w:rsidRPr="00000000">
        <w:rPr>
          <w:rFonts w:ascii="Times New Roman" w:cs="Times New Roman" w:eastAsia="Times New Roman" w:hAnsi="Times New Roman"/>
          <w:sz w:val="20"/>
          <w:szCs w:val="20"/>
          <w:rtl w:val="0"/>
        </w:rPr>
        <w:t xml:space="preserve">, 343.</w:t>
      </w:r>
      <w:r w:rsidDel="00000000" w:rsidR="00000000" w:rsidRPr="00000000">
        <w:rPr>
          <w:rtl w:val="0"/>
        </w:rPr>
      </w:r>
    </w:p>
  </w:footnote>
  <w:footnote w:id="3">
    <w:p w:rsidR="00000000" w:rsidDel="00000000" w:rsidP="00000000" w:rsidRDefault="00000000" w:rsidRPr="00000000" w14:paraId="00000036">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Tamale, </w:t>
      </w:r>
      <w:r w:rsidDel="00000000" w:rsidR="00000000" w:rsidRPr="00000000">
        <w:rPr>
          <w:rFonts w:ascii="Times New Roman" w:cs="Times New Roman" w:eastAsia="Times New Roman" w:hAnsi="Times New Roman"/>
          <w:i w:val="1"/>
          <w:sz w:val="20"/>
          <w:szCs w:val="20"/>
          <w:rtl w:val="0"/>
        </w:rPr>
        <w:t xml:space="preserve">Decolonization</w:t>
      </w:r>
      <w:r w:rsidDel="00000000" w:rsidR="00000000" w:rsidRPr="00000000">
        <w:rPr>
          <w:rFonts w:ascii="Times New Roman" w:cs="Times New Roman" w:eastAsia="Times New Roman" w:hAnsi="Times New Roman"/>
          <w:sz w:val="20"/>
          <w:szCs w:val="20"/>
          <w:rtl w:val="0"/>
        </w:rPr>
        <w:t xml:space="preserve">, 344.</w:t>
      </w:r>
    </w:p>
  </w:footnote>
  <w:footnote w:id="5">
    <w:p w:rsidR="00000000" w:rsidDel="00000000" w:rsidP="00000000" w:rsidRDefault="00000000" w:rsidRPr="00000000" w14:paraId="00000037">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Tamale, Decolonization, 352.</w:t>
      </w:r>
    </w:p>
  </w:footnote>
  <w:footnote w:id="6">
    <w:p w:rsidR="00000000" w:rsidDel="00000000" w:rsidP="00000000" w:rsidRDefault="00000000" w:rsidRPr="00000000" w14:paraId="00000038">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Tamale, </w:t>
      </w:r>
      <w:r w:rsidDel="00000000" w:rsidR="00000000" w:rsidRPr="00000000">
        <w:rPr>
          <w:rFonts w:ascii="Times New Roman" w:cs="Times New Roman" w:eastAsia="Times New Roman" w:hAnsi="Times New Roman"/>
          <w:i w:val="1"/>
          <w:sz w:val="20"/>
          <w:szCs w:val="20"/>
          <w:rtl w:val="0"/>
        </w:rPr>
        <w:t xml:space="preserve">Decolonization</w:t>
      </w:r>
      <w:r w:rsidDel="00000000" w:rsidR="00000000" w:rsidRPr="00000000">
        <w:rPr>
          <w:rFonts w:ascii="Times New Roman" w:cs="Times New Roman" w:eastAsia="Times New Roman" w:hAnsi="Times New Roman"/>
          <w:sz w:val="20"/>
          <w:szCs w:val="20"/>
          <w:rtl w:val="0"/>
        </w:rPr>
        <w:t xml:space="preserve">, xiii.</w:t>
      </w:r>
    </w:p>
  </w:footnote>
  <w:footnote w:id="7">
    <w:p w:rsidR="00000000" w:rsidDel="00000000" w:rsidP="00000000" w:rsidRDefault="00000000" w:rsidRPr="00000000" w14:paraId="00000039">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Tamale, </w:t>
      </w:r>
      <w:r w:rsidDel="00000000" w:rsidR="00000000" w:rsidRPr="00000000">
        <w:rPr>
          <w:rFonts w:ascii="Times New Roman" w:cs="Times New Roman" w:eastAsia="Times New Roman" w:hAnsi="Times New Roman"/>
          <w:i w:val="1"/>
          <w:sz w:val="20"/>
          <w:szCs w:val="20"/>
          <w:rtl w:val="0"/>
        </w:rPr>
        <w:t xml:space="preserve">Decolonization</w:t>
      </w:r>
      <w:r w:rsidDel="00000000" w:rsidR="00000000" w:rsidRPr="00000000">
        <w:rPr>
          <w:rFonts w:ascii="Times New Roman" w:cs="Times New Roman" w:eastAsia="Times New Roman" w:hAnsi="Times New Roman"/>
          <w:sz w:val="20"/>
          <w:szCs w:val="20"/>
          <w:rtl w:val="0"/>
        </w:rPr>
        <w:t xml:space="preserve">, 7. </w:t>
      </w:r>
    </w:p>
  </w:footnote>
  <w:footnote w:id="9">
    <w:p w:rsidR="00000000" w:rsidDel="00000000" w:rsidP="00000000" w:rsidRDefault="00000000" w:rsidRPr="00000000" w14:paraId="0000003A">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Rodney, </w:t>
      </w:r>
      <w:r w:rsidDel="00000000" w:rsidR="00000000" w:rsidRPr="00000000">
        <w:rPr>
          <w:rFonts w:ascii="Times New Roman" w:cs="Times New Roman" w:eastAsia="Times New Roman" w:hAnsi="Times New Roman"/>
          <w:i w:val="1"/>
          <w:sz w:val="20"/>
          <w:szCs w:val="20"/>
          <w:rtl w:val="0"/>
        </w:rPr>
        <w:t xml:space="preserve">How Europe Underdeveloped Africa</w:t>
      </w:r>
      <w:r w:rsidDel="00000000" w:rsidR="00000000" w:rsidRPr="00000000">
        <w:rPr>
          <w:rFonts w:ascii="Times New Roman" w:cs="Times New Roman" w:eastAsia="Times New Roman" w:hAnsi="Times New Roman"/>
          <w:sz w:val="20"/>
          <w:szCs w:val="20"/>
          <w:rtl w:val="0"/>
        </w:rPr>
        <w:t xml:space="preserve">, 21.</w:t>
      </w:r>
    </w:p>
  </w:footnote>
  <w:footnote w:id="8">
    <w:p w:rsidR="00000000" w:rsidDel="00000000" w:rsidP="00000000" w:rsidRDefault="00000000" w:rsidRPr="00000000" w14:paraId="0000003B">
      <w:pPr>
        <w:spacing w:line="240" w:lineRule="auto"/>
        <w:ind w:firstLine="720"/>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Walter Rodney and Abdul Rahman Mohamed Babu, </w:t>
      </w:r>
      <w:r w:rsidDel="00000000" w:rsidR="00000000" w:rsidRPr="00000000">
        <w:rPr>
          <w:rFonts w:ascii="Times New Roman" w:cs="Times New Roman" w:eastAsia="Times New Roman" w:hAnsi="Times New Roman"/>
          <w:i w:val="1"/>
          <w:sz w:val="20"/>
          <w:szCs w:val="20"/>
          <w:rtl w:val="0"/>
        </w:rPr>
        <w:t xml:space="preserve">How Europe Underdeveloped Africa</w:t>
      </w:r>
      <w:r w:rsidDel="00000000" w:rsidR="00000000" w:rsidRPr="00000000">
        <w:rPr>
          <w:rFonts w:ascii="Times New Roman" w:cs="Times New Roman" w:eastAsia="Times New Roman" w:hAnsi="Times New Roman"/>
          <w:sz w:val="20"/>
          <w:szCs w:val="20"/>
          <w:rtl w:val="0"/>
        </w:rPr>
        <w:t xml:space="preserve"> (Washington: Howard University Press, 1974), 21</w:t>
      </w:r>
      <w:r w:rsidDel="00000000" w:rsidR="00000000" w:rsidRPr="00000000">
        <w:rPr>
          <w:rtl w:val="0"/>
        </w:rPr>
      </w:r>
    </w:p>
  </w:footnote>
  <w:footnote w:id="1">
    <w:p w:rsidR="00000000" w:rsidDel="00000000" w:rsidP="00000000" w:rsidRDefault="00000000" w:rsidRPr="00000000" w14:paraId="0000003E">
      <w:pPr>
        <w:spacing w:line="240" w:lineRule="auto"/>
        <w:ind w:firstLine="720"/>
        <w:rPr>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Sylvia Tamale, </w:t>
      </w:r>
      <w:r w:rsidDel="00000000" w:rsidR="00000000" w:rsidRPr="00000000">
        <w:rPr>
          <w:rFonts w:ascii="Times New Roman" w:cs="Times New Roman" w:eastAsia="Times New Roman" w:hAnsi="Times New Roman"/>
          <w:i w:val="1"/>
          <w:sz w:val="20"/>
          <w:szCs w:val="20"/>
          <w:rtl w:val="0"/>
        </w:rPr>
        <w:t xml:space="preserve">Decolonization and Afro-Feminism</w:t>
      </w:r>
      <w:r w:rsidDel="00000000" w:rsidR="00000000" w:rsidRPr="00000000">
        <w:rPr>
          <w:rFonts w:ascii="Times New Roman" w:cs="Times New Roman" w:eastAsia="Times New Roman" w:hAnsi="Times New Roman"/>
          <w:sz w:val="20"/>
          <w:szCs w:val="20"/>
          <w:rtl w:val="0"/>
        </w:rPr>
        <w:t xml:space="preserve"> (Ottawa: Dajara Press, 2020).</w:t>
      </w:r>
      <w:r w:rsidDel="00000000" w:rsidR="00000000" w:rsidRPr="00000000">
        <w:rPr>
          <w:rtl w:val="0"/>
        </w:rPr>
      </w:r>
    </w:p>
  </w:footnote>
  <w:footnote w:id="0">
    <w:p w:rsidR="00000000" w:rsidDel="00000000" w:rsidP="00000000" w:rsidRDefault="00000000" w:rsidRPr="00000000" w14:paraId="0000003F">
      <w:pPr>
        <w:spacing w:line="240" w:lineRule="auto"/>
        <w:ind w:firstLine="720"/>
        <w:rPr>
          <w:rFonts w:ascii="Times New Roman" w:cs="Times New Roman" w:eastAsia="Times New Roman" w:hAnsi="Times New Roman"/>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0"/>
          <w:szCs w:val="20"/>
          <w:rtl w:val="0"/>
        </w:rPr>
        <w:t xml:space="preserve">Adom Getachew, Worldmaking After Empire: The Rise and Fall of Self-Determination, (Princeton </w:t>
      </w:r>
    </w:p>
    <w:p w:rsidR="00000000" w:rsidDel="00000000" w:rsidP="00000000" w:rsidRDefault="00000000" w:rsidRPr="00000000" w14:paraId="00000040">
      <w:pPr>
        <w:spacing w:line="240" w:lineRule="auto"/>
        <w:ind w:firstLine="720"/>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University Press: 2019).</w:t>
      </w:r>
    </w:p>
  </w:footnote>
  <w:footnote w:id="4">
    <w:p w:rsidR="00000000" w:rsidDel="00000000" w:rsidP="00000000" w:rsidRDefault="00000000" w:rsidRPr="00000000" w14:paraId="00000041">
      <w:pPr>
        <w:spacing w:line="240" w:lineRule="auto"/>
        <w:ind w:firstLine="720"/>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Getachew, </w:t>
      </w:r>
      <w:r w:rsidDel="00000000" w:rsidR="00000000" w:rsidRPr="00000000">
        <w:rPr>
          <w:rFonts w:ascii="Times New Roman" w:cs="Times New Roman" w:eastAsia="Times New Roman" w:hAnsi="Times New Roman"/>
          <w:i w:val="1"/>
          <w:sz w:val="20"/>
          <w:szCs w:val="20"/>
          <w:rtl w:val="0"/>
        </w:rPr>
        <w:t xml:space="preserve">Worldmaking</w:t>
      </w:r>
      <w:r w:rsidDel="00000000" w:rsidR="00000000" w:rsidRPr="00000000">
        <w:rPr>
          <w:rFonts w:ascii="Times New Roman" w:cs="Times New Roman" w:eastAsia="Times New Roman" w:hAnsi="Times New Roman"/>
          <w:sz w:val="20"/>
          <w:szCs w:val="20"/>
          <w:rtl w:val="0"/>
        </w:rPr>
        <w:t xml:space="preserve">, 2.</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