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0819EA" w14:textId="77777777" w:rsidR="00107B2A" w:rsidRDefault="00107B2A" w:rsidP="00107B2A">
      <w:pPr>
        <w:spacing w:line="480" w:lineRule="auto"/>
        <w:jc w:val="center"/>
      </w:pPr>
    </w:p>
    <w:p w14:paraId="14A995F5" w14:textId="77777777" w:rsidR="00107B2A" w:rsidRDefault="00107B2A" w:rsidP="00107B2A">
      <w:pPr>
        <w:spacing w:line="480" w:lineRule="auto"/>
        <w:jc w:val="center"/>
      </w:pPr>
    </w:p>
    <w:p w14:paraId="6C87D63A" w14:textId="77777777" w:rsidR="00107B2A" w:rsidRDefault="00107B2A" w:rsidP="00107B2A">
      <w:pPr>
        <w:spacing w:line="480" w:lineRule="auto"/>
        <w:jc w:val="center"/>
      </w:pPr>
    </w:p>
    <w:p w14:paraId="52E6AD8E" w14:textId="77777777" w:rsidR="00107B2A" w:rsidRDefault="00107B2A" w:rsidP="00107B2A">
      <w:pPr>
        <w:spacing w:line="480" w:lineRule="auto"/>
        <w:jc w:val="center"/>
      </w:pPr>
    </w:p>
    <w:p w14:paraId="6FB9C078" w14:textId="4852E6D1" w:rsidR="000D1ED1" w:rsidRDefault="00255228" w:rsidP="00107B2A">
      <w:pPr>
        <w:spacing w:line="480" w:lineRule="auto"/>
        <w:jc w:val="center"/>
      </w:pPr>
      <w:r>
        <w:t xml:space="preserve">Coffee, Conversation, and Chaos: Alfred Delvau’s Reflections on Parisian Cafes </w:t>
      </w:r>
      <w:r w:rsidR="00530FB9">
        <w:t xml:space="preserve">During </w:t>
      </w:r>
      <w:r>
        <w:t>Napoleon’s Second Empire</w:t>
      </w:r>
    </w:p>
    <w:p w14:paraId="5F94E9D6" w14:textId="77777777" w:rsidR="00107B2A" w:rsidRDefault="00107B2A" w:rsidP="00107B2A">
      <w:pPr>
        <w:spacing w:line="480" w:lineRule="auto"/>
        <w:jc w:val="center"/>
      </w:pPr>
    </w:p>
    <w:p w14:paraId="78353693" w14:textId="057A5E61" w:rsidR="00107B2A" w:rsidRDefault="00107B2A" w:rsidP="00107B2A">
      <w:pPr>
        <w:spacing w:line="480" w:lineRule="auto"/>
        <w:jc w:val="center"/>
      </w:pPr>
      <w:r>
        <w:rPr>
          <w:noProof/>
        </w:rPr>
        <w:drawing>
          <wp:inline distT="0" distB="0" distL="0" distR="0" wp14:anchorId="4283517B" wp14:editId="238B9E1E">
            <wp:extent cx="2373677" cy="3680208"/>
            <wp:effectExtent l="0" t="0" r="1270" b="3175"/>
            <wp:docPr id="1720242644" name="Picture 1" descr="A person with a beard and mustach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242644" name="Picture 1" descr="A person with a beard and mustach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08390" cy="3734029"/>
                    </a:xfrm>
                    <a:prstGeom prst="rect">
                      <a:avLst/>
                    </a:prstGeom>
                  </pic:spPr>
                </pic:pic>
              </a:graphicData>
            </a:graphic>
          </wp:inline>
        </w:drawing>
      </w:r>
    </w:p>
    <w:p w14:paraId="1B54A828" w14:textId="2A7980C3" w:rsidR="00107B2A" w:rsidRDefault="00107B2A" w:rsidP="00107B2A">
      <w:pPr>
        <w:spacing w:line="480" w:lineRule="auto"/>
        <w:jc w:val="center"/>
      </w:pPr>
    </w:p>
    <w:p w14:paraId="054DAA32" w14:textId="0BA2AAAA" w:rsidR="00107B2A" w:rsidRDefault="00107B2A" w:rsidP="00107B2A">
      <w:pPr>
        <w:spacing w:line="480" w:lineRule="auto"/>
        <w:jc w:val="center"/>
      </w:pPr>
      <w:r>
        <w:t>Sophia Rees</w:t>
      </w:r>
    </w:p>
    <w:p w14:paraId="4646775F" w14:textId="2463221D" w:rsidR="00107B2A" w:rsidRDefault="00107B2A" w:rsidP="00107B2A">
      <w:pPr>
        <w:spacing w:line="480" w:lineRule="auto"/>
        <w:jc w:val="center"/>
      </w:pPr>
      <w:r>
        <w:t>HIS 328</w:t>
      </w:r>
      <w:r w:rsidR="00530FB9">
        <w:t>: Rebels &amp; Radicals</w:t>
      </w:r>
    </w:p>
    <w:p w14:paraId="76B12C5D" w14:textId="2FDC9E3C" w:rsidR="00107B2A" w:rsidRDefault="00107B2A" w:rsidP="00107B2A">
      <w:pPr>
        <w:spacing w:line="480" w:lineRule="auto"/>
        <w:jc w:val="center"/>
      </w:pPr>
      <w:r>
        <w:t>Professor Patricia Tilburg</w:t>
      </w:r>
    </w:p>
    <w:p w14:paraId="5B87C4CB" w14:textId="6FA57E45" w:rsidR="00107B2A" w:rsidRDefault="00107B2A" w:rsidP="00107B2A">
      <w:pPr>
        <w:spacing w:line="480" w:lineRule="auto"/>
        <w:jc w:val="center"/>
      </w:pPr>
      <w:r>
        <w:t xml:space="preserve">December 2024 </w:t>
      </w:r>
    </w:p>
    <w:p w14:paraId="108A760F" w14:textId="139A1B11" w:rsidR="00CF39CB" w:rsidRPr="001B21AC" w:rsidRDefault="007A0938" w:rsidP="00107B2A">
      <w:pPr>
        <w:spacing w:line="480" w:lineRule="auto"/>
        <w:ind w:firstLine="720"/>
      </w:pPr>
      <w:r>
        <w:lastRenderedPageBreak/>
        <w:t xml:space="preserve">No writer successfully captures the Parisian café as an emblem of </w:t>
      </w:r>
      <w:r w:rsidR="003404CE">
        <w:t xml:space="preserve">nineteenth-century France’s </w:t>
      </w:r>
      <w:r>
        <w:t xml:space="preserve">evolving </w:t>
      </w:r>
      <w:r w:rsidR="003404CE">
        <w:t xml:space="preserve">social </w:t>
      </w:r>
      <w:r>
        <w:t xml:space="preserve">environment like Alfred Delvau. </w:t>
      </w:r>
      <w:r w:rsidR="000D1ED1">
        <w:t xml:space="preserve">Born in 1825, </w:t>
      </w:r>
      <w:r w:rsidR="000D1ED1">
        <w:rPr>
          <w:rFonts w:eastAsia="Batang"/>
        </w:rPr>
        <w:t>Delvau left his bourgeois background in the 1840s to join the growing bohemian movement.</w:t>
      </w:r>
      <w:r w:rsidR="000D5798">
        <w:rPr>
          <w:rStyle w:val="FootnoteReference"/>
          <w:rFonts w:eastAsia="Batang"/>
        </w:rPr>
        <w:footnoteReference w:id="1"/>
      </w:r>
      <w:r w:rsidR="000D1ED1">
        <w:rPr>
          <w:rFonts w:eastAsia="Batang"/>
        </w:rPr>
        <w:t xml:space="preserve"> He lived as an ardent republican activist, protesting against the July Monarchy and </w:t>
      </w:r>
      <w:r w:rsidR="003C7753">
        <w:rPr>
          <w:rFonts w:eastAsia="Batang"/>
        </w:rPr>
        <w:t>participating in</w:t>
      </w:r>
      <w:r w:rsidR="000D1ED1">
        <w:rPr>
          <w:rFonts w:eastAsia="Batang"/>
        </w:rPr>
        <w:t xml:space="preserve"> the Revolution of 1848.</w:t>
      </w:r>
      <w:r w:rsidR="00595A71">
        <w:rPr>
          <w:rStyle w:val="FootnoteReference"/>
          <w:rFonts w:eastAsia="Batang"/>
        </w:rPr>
        <w:footnoteReference w:id="2"/>
      </w:r>
      <w:r w:rsidR="000D1ED1">
        <w:rPr>
          <w:rFonts w:eastAsia="Batang"/>
        </w:rPr>
        <w:t xml:space="preserve"> Although he had to abandon his </w:t>
      </w:r>
      <w:r w:rsidR="003C7753">
        <w:rPr>
          <w:rFonts w:eastAsia="Batang"/>
        </w:rPr>
        <w:t xml:space="preserve">overt </w:t>
      </w:r>
      <w:r w:rsidR="000D1ED1">
        <w:rPr>
          <w:rFonts w:eastAsia="Batang"/>
        </w:rPr>
        <w:t>political activism in the wake of Napoleon’s coup d’etat in 1851</w:t>
      </w:r>
      <w:r w:rsidR="003C7753">
        <w:rPr>
          <w:rFonts w:eastAsia="Batang"/>
        </w:rPr>
        <w:t xml:space="preserve"> and the subsequent censorship laws</w:t>
      </w:r>
      <w:r w:rsidR="000D1ED1">
        <w:rPr>
          <w:rFonts w:eastAsia="Batang"/>
        </w:rPr>
        <w:t xml:space="preserve">, Delvau </w:t>
      </w:r>
      <w:r w:rsidR="007E75DE">
        <w:rPr>
          <w:rFonts w:eastAsia="Batang"/>
        </w:rPr>
        <w:t>shifted towards journalism</w:t>
      </w:r>
      <w:r w:rsidR="008E3CBD">
        <w:rPr>
          <w:rFonts w:eastAsia="Batang"/>
        </w:rPr>
        <w:t xml:space="preserve"> and </w:t>
      </w:r>
      <w:r w:rsidR="000D1ED1">
        <w:rPr>
          <w:rFonts w:eastAsia="Batang"/>
        </w:rPr>
        <w:t>wrote extensively about places of entertainment</w:t>
      </w:r>
      <w:r w:rsidR="008E3CBD">
        <w:rPr>
          <w:rFonts w:eastAsia="Batang"/>
        </w:rPr>
        <w:t>.</w:t>
      </w:r>
      <w:r w:rsidR="008E3CBD">
        <w:rPr>
          <w:rStyle w:val="FootnoteReference"/>
          <w:rFonts w:eastAsia="Batang"/>
        </w:rPr>
        <w:footnoteReference w:id="3"/>
      </w:r>
      <w:r w:rsidR="008E3CBD">
        <w:rPr>
          <w:rFonts w:eastAsia="Batang"/>
        </w:rPr>
        <w:t xml:space="preserve"> </w:t>
      </w:r>
      <w:r w:rsidR="003C7753">
        <w:rPr>
          <w:rFonts w:eastAsia="Batang"/>
        </w:rPr>
        <w:t>He captured</w:t>
      </w:r>
      <w:r w:rsidR="000D1ED1">
        <w:rPr>
          <w:rFonts w:eastAsia="Batang"/>
        </w:rPr>
        <w:t xml:space="preserve"> and </w:t>
      </w:r>
      <w:r w:rsidR="003C7753">
        <w:rPr>
          <w:rFonts w:eastAsia="Batang"/>
        </w:rPr>
        <w:t>responded</w:t>
      </w:r>
      <w:r w:rsidR="000D1ED1">
        <w:rPr>
          <w:rFonts w:eastAsia="Batang"/>
        </w:rPr>
        <w:t xml:space="preserve"> to modern Parisian life</w:t>
      </w:r>
      <w:r w:rsidR="007E75DE">
        <w:rPr>
          <w:rFonts w:eastAsia="Batang"/>
        </w:rPr>
        <w:t xml:space="preserve">, </w:t>
      </w:r>
      <w:r w:rsidR="003C7753">
        <w:rPr>
          <w:rFonts w:eastAsia="Batang"/>
        </w:rPr>
        <w:t>seeking to</w:t>
      </w:r>
      <w:r w:rsidR="007E75DE">
        <w:rPr>
          <w:rFonts w:eastAsia="Batang"/>
        </w:rPr>
        <w:t xml:space="preserve"> undermine bourgeois cultural hegemony.</w:t>
      </w:r>
      <w:r w:rsidR="008E3CBD">
        <w:rPr>
          <w:rStyle w:val="FootnoteReference"/>
          <w:rFonts w:eastAsia="Batang"/>
        </w:rPr>
        <w:footnoteReference w:id="4"/>
      </w:r>
      <w:r w:rsidR="007E75DE">
        <w:rPr>
          <w:rFonts w:eastAsia="Batang"/>
        </w:rPr>
        <w:t xml:space="preserve"> </w:t>
      </w:r>
    </w:p>
    <w:p w14:paraId="1111FA3D" w14:textId="01200442" w:rsidR="00377A48" w:rsidRDefault="00CF39CB" w:rsidP="00377A48">
      <w:pPr>
        <w:spacing w:line="480" w:lineRule="auto"/>
        <w:ind w:firstLine="720"/>
        <w:rPr>
          <w:rFonts w:eastAsia="Batang"/>
        </w:rPr>
      </w:pPr>
      <w:r>
        <w:t xml:space="preserve">While Delvau lacked the recognition that other Bohemians such as Charles Baudelaire and </w:t>
      </w:r>
      <w:r w:rsidR="00F15F33">
        <w:t>Edouard Manet</w:t>
      </w:r>
      <w:r>
        <w:t xml:space="preserve"> received</w:t>
      </w:r>
      <w:r w:rsidR="00F15F33">
        <w:t xml:space="preserve"> for their depictions</w:t>
      </w:r>
      <w:r w:rsidR="003C7753">
        <w:t xml:space="preserve"> of modern life</w:t>
      </w:r>
      <w:r>
        <w:t xml:space="preserve">, he nonetheless played a significant role in providing a historical snapshot of </w:t>
      </w:r>
      <w:r w:rsidR="008C4743">
        <w:t>nineteenth</w:t>
      </w:r>
      <w:r>
        <w:t xml:space="preserve">-century Paris rooted in reportage and personal observation. His 1862 text, </w:t>
      </w:r>
      <w:r>
        <w:rPr>
          <w:rFonts w:eastAsia="Batang"/>
        </w:rPr>
        <w:t>“Histoire Anecdotiques des Cafés et Cabarets de Paris” serves as an example of such.</w:t>
      </w:r>
      <w:r w:rsidR="008E3CBD">
        <w:rPr>
          <w:rStyle w:val="FootnoteReference"/>
          <w:rFonts w:eastAsia="Batang"/>
        </w:rPr>
        <w:footnoteReference w:id="5"/>
      </w:r>
      <w:r>
        <w:rPr>
          <w:rFonts w:eastAsia="Batang"/>
        </w:rPr>
        <w:t xml:space="preserve"> He details over 20 cafes spread across Paris, sharing their history and social climate.</w:t>
      </w:r>
      <w:r w:rsidR="001B21AC">
        <w:rPr>
          <w:rFonts w:eastAsia="Batang"/>
        </w:rPr>
        <w:t xml:space="preserve"> </w:t>
      </w:r>
      <w:r w:rsidR="00813CAE">
        <w:rPr>
          <w:rFonts w:eastAsia="Batang"/>
        </w:rPr>
        <w:t xml:space="preserve">As </w:t>
      </w:r>
      <w:r w:rsidR="008C4743">
        <w:rPr>
          <w:rFonts w:eastAsia="Batang"/>
        </w:rPr>
        <w:t xml:space="preserve">French scholar Brett </w:t>
      </w:r>
      <w:r w:rsidR="00813CAE">
        <w:rPr>
          <w:rFonts w:eastAsia="Batang"/>
        </w:rPr>
        <w:t>Bowles writes, “</w:t>
      </w:r>
      <w:r w:rsidR="00813CAE">
        <w:t>politics of language took on unprecedented importance in the nineteenth century as France sought to forge national, cultural and political consensus in the wake of the Revolution</w:t>
      </w:r>
      <w:r w:rsidR="008E3CBD">
        <w:t>.</w:t>
      </w:r>
      <w:r w:rsidR="00813CAE">
        <w:t>”</w:t>
      </w:r>
      <w:r w:rsidR="008E3CBD">
        <w:rPr>
          <w:rStyle w:val="FootnoteReference"/>
        </w:rPr>
        <w:footnoteReference w:id="6"/>
      </w:r>
      <w:r w:rsidR="008E3CBD">
        <w:t xml:space="preserve"> </w:t>
      </w:r>
      <w:r w:rsidR="00BF4AB6">
        <w:t>Delvau’s text operates</w:t>
      </w:r>
      <w:r w:rsidR="00B825B2">
        <w:t xml:space="preserve"> within this framework</w:t>
      </w:r>
      <w:r w:rsidR="00BF4AB6">
        <w:t xml:space="preserve"> as a literary tool that can shape public consciousness and incite change in French </w:t>
      </w:r>
      <w:r w:rsidR="00BF4AB6">
        <w:lastRenderedPageBreak/>
        <w:t>society</w:t>
      </w:r>
      <w:r w:rsidR="008E3CBD">
        <w:t>.</w:t>
      </w:r>
      <w:r w:rsidR="00813CAE">
        <w:rPr>
          <w:rStyle w:val="FootnoteReference"/>
          <w:rFonts w:eastAsia="Batang"/>
        </w:rPr>
        <w:footnoteReference w:id="7"/>
      </w:r>
      <w:r w:rsidR="00813CAE">
        <w:rPr>
          <w:rFonts w:eastAsia="Batang"/>
        </w:rPr>
        <w:t xml:space="preserve"> </w:t>
      </w:r>
      <w:r w:rsidR="00813CAE">
        <w:t>He</w:t>
      </w:r>
      <w:r w:rsidR="008C6441">
        <w:t xml:space="preserve"> </w:t>
      </w:r>
      <w:r w:rsidR="00813CAE">
        <w:t>selected the</w:t>
      </w:r>
      <w:r w:rsidR="008C6441">
        <w:t xml:space="preserve"> cafes intentionally, highlighting only those “</w:t>
      </w:r>
      <w:r w:rsidR="008C6441" w:rsidRPr="002A6D73">
        <w:rPr>
          <w:rFonts w:eastAsia="Batang"/>
        </w:rPr>
        <w:t>qui pouvaient vous intéresser, ainsi que le public, soit par leur étrangeté, soit par la composition littéraire ou artistique de leur personnel</w:t>
      </w:r>
      <w:r w:rsidR="008C6441">
        <w:rPr>
          <w:rFonts w:eastAsia="Batang"/>
        </w:rPr>
        <w:t>.”</w:t>
      </w:r>
      <w:r w:rsidR="002834E9">
        <w:rPr>
          <w:rStyle w:val="FootnoteReference"/>
          <w:rFonts w:eastAsia="Batang"/>
        </w:rPr>
        <w:footnoteReference w:id="8"/>
      </w:r>
      <w:r w:rsidR="008C6441">
        <w:rPr>
          <w:rFonts w:eastAsia="Batang"/>
        </w:rPr>
        <w:t xml:space="preserve"> </w:t>
      </w:r>
      <w:r w:rsidR="003C7753">
        <w:rPr>
          <w:rFonts w:eastAsia="Batang"/>
        </w:rPr>
        <w:t>By</w:t>
      </w:r>
      <w:r w:rsidR="008C6441">
        <w:rPr>
          <w:rFonts w:eastAsia="Batang"/>
        </w:rPr>
        <w:t xml:space="preserve"> omitting the </w:t>
      </w:r>
      <w:r w:rsidR="003C7753">
        <w:rPr>
          <w:rFonts w:eastAsia="Batang"/>
        </w:rPr>
        <w:t xml:space="preserve">mundane </w:t>
      </w:r>
      <w:r w:rsidR="008C6441">
        <w:rPr>
          <w:rFonts w:eastAsia="Batang"/>
        </w:rPr>
        <w:t>establishments, he sends a specific message across about the new Paris</w:t>
      </w:r>
      <w:r w:rsidR="00C71AA6">
        <w:rPr>
          <w:rFonts w:eastAsia="Batang"/>
        </w:rPr>
        <w:t>.</w:t>
      </w:r>
      <w:r w:rsidR="008E3CBD">
        <w:rPr>
          <w:rFonts w:eastAsia="Batang"/>
        </w:rPr>
        <w:t xml:space="preserve"> </w:t>
      </w:r>
      <w:r w:rsidR="00C71AA6">
        <w:rPr>
          <w:rFonts w:eastAsia="Batang"/>
        </w:rPr>
        <w:t>I</w:t>
      </w:r>
      <w:r w:rsidR="00813CAE">
        <w:rPr>
          <w:rFonts w:eastAsia="Batang"/>
        </w:rPr>
        <w:t xml:space="preserve"> will argue that </w:t>
      </w:r>
      <w:r w:rsidR="00C71AA6">
        <w:rPr>
          <w:rFonts w:eastAsia="Batang"/>
        </w:rPr>
        <w:t xml:space="preserve">Delvau’s selective </w:t>
      </w:r>
      <w:r w:rsidR="009A6F72">
        <w:rPr>
          <w:rFonts w:eastAsia="Batang"/>
        </w:rPr>
        <w:t xml:space="preserve">and </w:t>
      </w:r>
      <w:r w:rsidR="00BF4AB6">
        <w:rPr>
          <w:rFonts w:eastAsia="Batang"/>
        </w:rPr>
        <w:t>contrasting</w:t>
      </w:r>
      <w:r w:rsidR="009A6F72">
        <w:rPr>
          <w:rFonts w:eastAsia="Batang"/>
        </w:rPr>
        <w:t xml:space="preserve"> </w:t>
      </w:r>
      <w:r w:rsidR="00C71AA6">
        <w:rPr>
          <w:rFonts w:eastAsia="Batang"/>
        </w:rPr>
        <w:t>portrayal</w:t>
      </w:r>
      <w:r w:rsidR="00BF4AB6">
        <w:rPr>
          <w:rFonts w:eastAsia="Batang"/>
        </w:rPr>
        <w:t>s</w:t>
      </w:r>
      <w:r w:rsidR="00C71AA6">
        <w:rPr>
          <w:rFonts w:eastAsia="Batang"/>
        </w:rPr>
        <w:t xml:space="preserve"> of Parisian cafes under France’s Second Empire highlights </w:t>
      </w:r>
      <w:r w:rsidR="009A6F72">
        <w:rPr>
          <w:rFonts w:eastAsia="Batang"/>
        </w:rPr>
        <w:t>the</w:t>
      </w:r>
      <w:r w:rsidR="00342E30">
        <w:rPr>
          <w:rFonts w:eastAsia="Batang"/>
        </w:rPr>
        <w:t>ir</w:t>
      </w:r>
      <w:r w:rsidR="00C71AA6">
        <w:rPr>
          <w:rFonts w:eastAsia="Batang"/>
        </w:rPr>
        <w:t xml:space="preserve"> complex </w:t>
      </w:r>
      <w:r w:rsidR="009A6F72">
        <w:rPr>
          <w:rFonts w:eastAsia="Batang"/>
        </w:rPr>
        <w:t>role</w:t>
      </w:r>
      <w:r w:rsidR="00C71AA6">
        <w:rPr>
          <w:rFonts w:eastAsia="Batang"/>
        </w:rPr>
        <w:t xml:space="preserve"> </w:t>
      </w:r>
      <w:r w:rsidR="00BF4AB6">
        <w:rPr>
          <w:rFonts w:eastAsia="Batang"/>
        </w:rPr>
        <w:t>as</w:t>
      </w:r>
      <w:r w:rsidR="00342E30">
        <w:rPr>
          <w:rFonts w:eastAsia="Batang"/>
        </w:rPr>
        <w:t xml:space="preserve"> </w:t>
      </w:r>
      <w:r w:rsidR="00985E49">
        <w:rPr>
          <w:rFonts w:eastAsia="Batang"/>
        </w:rPr>
        <w:t>urban public</w:t>
      </w:r>
      <w:r w:rsidR="00342E30">
        <w:rPr>
          <w:rFonts w:eastAsia="Batang"/>
        </w:rPr>
        <w:t xml:space="preserve"> </w:t>
      </w:r>
      <w:r w:rsidR="00985E49">
        <w:rPr>
          <w:rFonts w:eastAsia="Batang"/>
        </w:rPr>
        <w:t>spaces</w:t>
      </w:r>
      <w:r w:rsidR="00342E30">
        <w:rPr>
          <w:rFonts w:eastAsia="Batang"/>
        </w:rPr>
        <w:t xml:space="preserve">. By weaving together themes of integration and exclusion, </w:t>
      </w:r>
      <w:r w:rsidR="00BF4AB6">
        <w:rPr>
          <w:rFonts w:eastAsia="Batang"/>
        </w:rPr>
        <w:t>communal engagement, historical memory</w:t>
      </w:r>
      <w:r w:rsidR="004F38BA">
        <w:rPr>
          <w:rFonts w:eastAsia="Batang"/>
        </w:rPr>
        <w:t xml:space="preserve">, </w:t>
      </w:r>
      <w:r w:rsidR="00BF4AB6">
        <w:rPr>
          <w:rFonts w:eastAsia="Batang"/>
        </w:rPr>
        <w:t xml:space="preserve">and struggles </w:t>
      </w:r>
      <w:r w:rsidR="00985E49">
        <w:rPr>
          <w:rFonts w:eastAsia="Batang"/>
        </w:rPr>
        <w:t>with</w:t>
      </w:r>
      <w:r w:rsidR="00BF4AB6">
        <w:rPr>
          <w:rFonts w:eastAsia="Batang"/>
        </w:rPr>
        <w:t xml:space="preserve"> meaning</w:t>
      </w:r>
      <w:r w:rsidR="00985E49">
        <w:rPr>
          <w:rFonts w:eastAsia="Batang"/>
        </w:rPr>
        <w:t xml:space="preserve"> and authenticity</w:t>
      </w:r>
      <w:r w:rsidR="004F38BA">
        <w:rPr>
          <w:rFonts w:eastAsia="Batang"/>
        </w:rPr>
        <w:t xml:space="preserve">, Delvau </w:t>
      </w:r>
      <w:r w:rsidR="00985E49">
        <w:rPr>
          <w:rFonts w:eastAsia="Batang"/>
        </w:rPr>
        <w:t>celebrates</w:t>
      </w:r>
      <w:r w:rsidR="00377A48">
        <w:rPr>
          <w:rFonts w:eastAsia="Batang"/>
        </w:rPr>
        <w:t xml:space="preserve"> certain aspects of modern</w:t>
      </w:r>
      <w:r w:rsidR="00985E49">
        <w:rPr>
          <w:rFonts w:eastAsia="Batang"/>
        </w:rPr>
        <w:t xml:space="preserve">ity </w:t>
      </w:r>
      <w:r w:rsidR="00377A48">
        <w:rPr>
          <w:rFonts w:eastAsia="Batang"/>
        </w:rPr>
        <w:t xml:space="preserve">while critiquing others. In doing so, he </w:t>
      </w:r>
      <w:r w:rsidR="00BF4AB6">
        <w:rPr>
          <w:rFonts w:eastAsia="Batang"/>
        </w:rPr>
        <w:t xml:space="preserve">encourages </w:t>
      </w:r>
      <w:r w:rsidR="00020131">
        <w:rPr>
          <w:rFonts w:eastAsia="Batang"/>
        </w:rPr>
        <w:t>Paris</w:t>
      </w:r>
      <w:r w:rsidR="00BF4AB6">
        <w:rPr>
          <w:rFonts w:eastAsia="Batang"/>
        </w:rPr>
        <w:t xml:space="preserve"> to</w:t>
      </w:r>
      <w:r w:rsidR="004F38BA">
        <w:rPr>
          <w:rFonts w:eastAsia="Batang"/>
        </w:rPr>
        <w:t xml:space="preserve"> </w:t>
      </w:r>
      <w:r w:rsidR="00020131">
        <w:rPr>
          <w:rFonts w:eastAsia="Batang"/>
        </w:rPr>
        <w:t>foster</w:t>
      </w:r>
      <w:r w:rsidR="00BF4AB6">
        <w:rPr>
          <w:rFonts w:eastAsia="Batang"/>
        </w:rPr>
        <w:t xml:space="preserve"> a</w:t>
      </w:r>
      <w:r w:rsidR="004F38BA">
        <w:rPr>
          <w:rFonts w:eastAsia="Batang"/>
        </w:rPr>
        <w:t xml:space="preserve"> cultural identity </w:t>
      </w:r>
      <w:r w:rsidR="00985E49">
        <w:rPr>
          <w:rFonts w:eastAsia="Batang"/>
        </w:rPr>
        <w:t xml:space="preserve">grounded in inclusion, reflection, and purpose. </w:t>
      </w:r>
    </w:p>
    <w:p w14:paraId="78E40CA3" w14:textId="5FFC800B" w:rsidR="00987B41" w:rsidRPr="00377A48" w:rsidRDefault="00CF39CB" w:rsidP="00A96FA3">
      <w:pPr>
        <w:spacing w:line="480" w:lineRule="auto"/>
        <w:ind w:firstLine="720"/>
      </w:pPr>
      <w:r>
        <w:rPr>
          <w:rFonts w:eastAsia="Batang"/>
        </w:rPr>
        <w:t>Despite Delvau’s abundant content published at a critical time for France, Bowles serves as the only known scholar who studied Delvau and his texts as a political tool.</w:t>
      </w:r>
      <w:r w:rsidR="002834E9">
        <w:rPr>
          <w:rStyle w:val="FootnoteReference"/>
          <w:rFonts w:eastAsia="Batang"/>
        </w:rPr>
        <w:footnoteReference w:id="9"/>
      </w:r>
      <w:r>
        <w:rPr>
          <w:rFonts w:eastAsia="Batang"/>
        </w:rPr>
        <w:t xml:space="preserve"> Bowles highlights how Delvau’s dictionaries </w:t>
      </w:r>
      <w:r w:rsidR="002834E9">
        <w:t>incorporate political and social satire to promote social classes stigmatized by the Second Empire.</w:t>
      </w:r>
      <w:r w:rsidR="002834E9">
        <w:rPr>
          <w:rStyle w:val="FootnoteReference"/>
        </w:rPr>
        <w:footnoteReference w:id="10"/>
      </w:r>
      <w:r w:rsidR="002834E9">
        <w:t xml:space="preserve"> </w:t>
      </w:r>
      <w:r>
        <w:rPr>
          <w:rFonts w:eastAsia="Batang"/>
        </w:rPr>
        <w:t>Meanwhile, art historian Robert Herbert introduces Delvau as a writer who sought inspiration from the café along with Manet.</w:t>
      </w:r>
      <w:r w:rsidR="002834E9">
        <w:rPr>
          <w:rStyle w:val="FootnoteReference"/>
          <w:rFonts w:eastAsia="Batang"/>
        </w:rPr>
        <w:footnoteReference w:id="11"/>
      </w:r>
      <w:r>
        <w:rPr>
          <w:rFonts w:eastAsia="Batang"/>
        </w:rPr>
        <w:t xml:space="preserve"> </w:t>
      </w:r>
      <w:r w:rsidR="00377A48">
        <w:t>He recognizes Delvau for creating “the most valuable contemporaneous accounts” of the café.</w:t>
      </w:r>
      <w:r w:rsidR="00377A48">
        <w:rPr>
          <w:rStyle w:val="FootnoteReference"/>
        </w:rPr>
        <w:footnoteReference w:id="12"/>
      </w:r>
      <w:r w:rsidR="00377A48">
        <w:t xml:space="preserve"> </w:t>
      </w:r>
      <w:r w:rsidR="000A6037">
        <w:t xml:space="preserve">While Bowles fails to consider the café in his analysis, Herbert only introduces Delvau’s work. Therefore, I will integrate Bowles’ claim that Delvau’s work sends a particular societal message and </w:t>
      </w:r>
      <w:r w:rsidR="00A96FA3">
        <w:t xml:space="preserve">enhance </w:t>
      </w:r>
      <w:r w:rsidR="000A6037">
        <w:lastRenderedPageBreak/>
        <w:t xml:space="preserve">Herbert’s praise for Delvau </w:t>
      </w:r>
      <w:r w:rsidR="00A96FA3">
        <w:t xml:space="preserve">by </w:t>
      </w:r>
      <w:r w:rsidR="000A6037">
        <w:t xml:space="preserve">providing a more extensive </w:t>
      </w:r>
      <w:r w:rsidR="00A96FA3">
        <w:t xml:space="preserve">and narrow </w:t>
      </w:r>
      <w:r w:rsidR="000A6037">
        <w:t xml:space="preserve">analysis on </w:t>
      </w:r>
      <w:r w:rsidR="00A96FA3">
        <w:t>the café’s</w:t>
      </w:r>
      <w:r w:rsidR="000A6037">
        <w:t xml:space="preserve"> multifaceted role </w:t>
      </w:r>
      <w:r w:rsidR="00A96FA3">
        <w:t>as a social force during France’s Second Empire.</w:t>
      </w:r>
    </w:p>
    <w:p w14:paraId="3DAD08B5" w14:textId="1198A91C" w:rsidR="00475EF9" w:rsidRPr="008C6441" w:rsidRDefault="00987B41" w:rsidP="00107B2A">
      <w:pPr>
        <w:spacing w:line="480" w:lineRule="auto"/>
        <w:ind w:firstLine="720"/>
        <w:rPr>
          <w:rFonts w:eastAsia="Batang"/>
        </w:rPr>
      </w:pPr>
      <w:r>
        <w:rPr>
          <w:rFonts w:eastAsia="Batang"/>
        </w:rPr>
        <w:t>Delvau published</w:t>
      </w:r>
      <w:r w:rsidR="00B825B2">
        <w:rPr>
          <w:rFonts w:eastAsia="Batang"/>
        </w:rPr>
        <w:t xml:space="preserve"> his</w:t>
      </w:r>
      <w:r>
        <w:rPr>
          <w:rFonts w:eastAsia="Batang"/>
        </w:rPr>
        <w:t xml:space="preserve"> </w:t>
      </w:r>
      <w:r w:rsidR="00F46C99">
        <w:rPr>
          <w:rFonts w:eastAsia="Batang"/>
        </w:rPr>
        <w:t xml:space="preserve">“Histoire Anecdotiques” in </w:t>
      </w:r>
      <w:r>
        <w:rPr>
          <w:rFonts w:eastAsia="Batang"/>
        </w:rPr>
        <w:t xml:space="preserve">1862 </w:t>
      </w:r>
      <w:r w:rsidR="001B21AC">
        <w:rPr>
          <w:rFonts w:eastAsia="Batang"/>
        </w:rPr>
        <w:t xml:space="preserve">while France </w:t>
      </w:r>
      <w:r w:rsidR="00020131">
        <w:rPr>
          <w:rFonts w:eastAsia="Batang"/>
        </w:rPr>
        <w:t>underwent</w:t>
      </w:r>
      <w:r w:rsidR="001B21AC">
        <w:rPr>
          <w:rFonts w:eastAsia="Batang"/>
        </w:rPr>
        <w:t xml:space="preserve"> major political and social changes.</w:t>
      </w:r>
      <w:r w:rsidR="008C6441">
        <w:rPr>
          <w:rFonts w:eastAsia="Batang"/>
        </w:rPr>
        <w:t xml:space="preserve"> </w:t>
      </w:r>
      <w:r w:rsidR="00475EF9">
        <w:rPr>
          <w:rFonts w:eastAsia="Batang"/>
        </w:rPr>
        <w:t xml:space="preserve">Politically, France elected Napoleon III in 1848 following Louis-Philippe’s overthrow. His election marked the beginning of France’s Second Republic which lasted until 1852 when Napoleon crowned himself the Emperor. He remained in that position until 1870, leading to France’s Third Republic. </w:t>
      </w:r>
      <w:r w:rsidR="00475EF9" w:rsidRPr="00AC370D">
        <w:rPr>
          <w:rFonts w:eastAsia="Batang"/>
        </w:rPr>
        <w:t xml:space="preserve">While Napoleon depicted himself as a defender against government-imposed taxes and neglectful policies, </w:t>
      </w:r>
      <w:r w:rsidR="00475EF9">
        <w:rPr>
          <w:rFonts w:eastAsia="Batang"/>
        </w:rPr>
        <w:t>attempts to balance middle- and working-class interests escalated tensions.</w:t>
      </w:r>
      <w:r w:rsidR="004E4107">
        <w:rPr>
          <w:rStyle w:val="FootnoteReference"/>
          <w:rFonts w:eastAsia="Batang"/>
        </w:rPr>
        <w:footnoteReference w:id="13"/>
      </w:r>
      <w:r w:rsidR="00475EF9">
        <w:rPr>
          <w:rFonts w:eastAsia="Batang"/>
        </w:rPr>
        <w:t xml:space="preserve"> H</w:t>
      </w:r>
      <w:r w:rsidR="00475EF9" w:rsidRPr="00AC370D">
        <w:rPr>
          <w:rFonts w:eastAsia="Batang"/>
        </w:rPr>
        <w:t>e reinstated unpopular taxes and became an enemy of the rural population.</w:t>
      </w:r>
      <w:r w:rsidR="004E4107">
        <w:rPr>
          <w:rStyle w:val="FootnoteReference"/>
          <w:rFonts w:eastAsia="Batang"/>
        </w:rPr>
        <w:footnoteReference w:id="14"/>
      </w:r>
      <w:r w:rsidR="00475EF9" w:rsidRPr="00AC370D">
        <w:rPr>
          <w:rFonts w:eastAsia="Batang"/>
        </w:rPr>
        <w:t xml:space="preserve"> </w:t>
      </w:r>
      <w:r w:rsidR="00475EF9">
        <w:rPr>
          <w:rFonts w:eastAsia="Batang"/>
        </w:rPr>
        <w:t>At the same time, h</w:t>
      </w:r>
      <w:r w:rsidR="00475EF9" w:rsidRPr="00AC370D">
        <w:rPr>
          <w:rFonts w:eastAsia="Batang"/>
        </w:rPr>
        <w:t>e implemented infamous censorship laws that restricted many aspects of French life including newspapers and theatre</w:t>
      </w:r>
      <w:r w:rsidR="004E4107">
        <w:rPr>
          <w:rFonts w:eastAsia="Batang"/>
        </w:rPr>
        <w:t>.</w:t>
      </w:r>
      <w:r w:rsidR="00475EF9" w:rsidRPr="00AC370D">
        <w:rPr>
          <w:rFonts w:eastAsia="Batang"/>
        </w:rPr>
        <w:t xml:space="preserve"> </w:t>
      </w:r>
      <w:r w:rsidR="00475EF9">
        <w:rPr>
          <w:rFonts w:eastAsia="Batang"/>
        </w:rPr>
        <w:t>This government repression faced significant opposition with “</w:t>
      </w:r>
      <w:r w:rsidR="00475EF9">
        <w:t xml:space="preserve">ever-increasing demands of ever-larger segments of the French population for more political liberty” clashing with </w:t>
      </w:r>
      <w:r w:rsidR="00475EF9">
        <w:rPr>
          <w:rFonts w:eastAsia="Batang"/>
        </w:rPr>
        <w:t>“</w:t>
      </w:r>
      <w:r w:rsidR="00475EF9">
        <w:t>the determination of almost all French regimes before 1880 to suppress political dissent, which they viewed as a lethal threat to their perceived need to control popular thought.</w:t>
      </w:r>
      <w:r w:rsidR="004E4107">
        <w:t>”</w:t>
      </w:r>
      <w:r w:rsidR="004E4107">
        <w:rPr>
          <w:rStyle w:val="FootnoteReference"/>
        </w:rPr>
        <w:footnoteReference w:id="15"/>
      </w:r>
      <w:r w:rsidR="00475EF9">
        <w:t xml:space="preserve"> </w:t>
      </w:r>
      <w:r w:rsidR="00C71AA6">
        <w:t>His</w:t>
      </w:r>
      <w:r w:rsidR="007A0938">
        <w:t xml:space="preserve"> authoritarian control </w:t>
      </w:r>
      <w:r w:rsidR="00C71AA6">
        <w:t xml:space="preserve">ended up contributing to the turmoil that France wanted him to stabilize. </w:t>
      </w:r>
    </w:p>
    <w:p w14:paraId="5EE183E4" w14:textId="148411F2" w:rsidR="00475EF9" w:rsidRDefault="00475EF9" w:rsidP="00107B2A">
      <w:pPr>
        <w:spacing w:line="480" w:lineRule="auto"/>
        <w:ind w:firstLine="720"/>
        <w:rPr>
          <w:rFonts w:eastAsia="Batang"/>
        </w:rPr>
      </w:pPr>
      <w:r>
        <w:rPr>
          <w:rFonts w:eastAsia="Batang"/>
        </w:rPr>
        <w:t xml:space="preserve">Meanwhile, </w:t>
      </w:r>
      <w:r w:rsidR="00B825B2">
        <w:rPr>
          <w:rFonts w:eastAsia="Batang"/>
        </w:rPr>
        <w:t>Napoleon enlisted Georges-Eugène Haussmann to re-build and modernize Paris. The</w:t>
      </w:r>
      <w:r w:rsidR="001B21AC">
        <w:rPr>
          <w:rFonts w:eastAsia="Batang"/>
        </w:rPr>
        <w:t xml:space="preserve"> Haussmanization process </w:t>
      </w:r>
      <w:r w:rsidR="00987B41" w:rsidRPr="007F29A6">
        <w:rPr>
          <w:rFonts w:eastAsia="Batang"/>
        </w:rPr>
        <w:t xml:space="preserve">took over </w:t>
      </w:r>
      <w:r w:rsidR="007A690F">
        <w:rPr>
          <w:rFonts w:eastAsia="Batang"/>
        </w:rPr>
        <w:t>the city</w:t>
      </w:r>
      <w:r w:rsidR="00987B41">
        <w:rPr>
          <w:rFonts w:eastAsia="Batang"/>
        </w:rPr>
        <w:t xml:space="preserve"> </w:t>
      </w:r>
      <w:r w:rsidR="001B21AC">
        <w:rPr>
          <w:rFonts w:eastAsia="Batang"/>
        </w:rPr>
        <w:t xml:space="preserve">between 1853 and 1870 </w:t>
      </w:r>
      <w:r w:rsidR="00987B41">
        <w:rPr>
          <w:rFonts w:eastAsia="Batang"/>
        </w:rPr>
        <w:t>with wide</w:t>
      </w:r>
      <w:r w:rsidR="00987B41" w:rsidRPr="007F29A6">
        <w:rPr>
          <w:rFonts w:eastAsia="Batang"/>
        </w:rPr>
        <w:t xml:space="preserve"> avenues </w:t>
      </w:r>
      <w:r w:rsidR="00987B41">
        <w:rPr>
          <w:rFonts w:eastAsia="Batang"/>
        </w:rPr>
        <w:t>replacing</w:t>
      </w:r>
      <w:r w:rsidR="00987B41" w:rsidRPr="007F29A6">
        <w:rPr>
          <w:rFonts w:eastAsia="Batang"/>
        </w:rPr>
        <w:t xml:space="preserve"> narrow streets. </w:t>
      </w:r>
      <w:r w:rsidR="00987B41">
        <w:rPr>
          <w:rFonts w:eastAsia="Batang"/>
        </w:rPr>
        <w:t>As French cultural historian W. Scott Haine writes, “</w:t>
      </w:r>
      <w:r w:rsidR="00987B41">
        <w:t xml:space="preserve">a customer could find, often on the same block, a dozen different types of ambiance ranging from the </w:t>
      </w:r>
      <w:r w:rsidR="00987B41">
        <w:lastRenderedPageBreak/>
        <w:t>coziness of a village inn to the violence of a den of thieves</w:t>
      </w:r>
      <w:r w:rsidR="004E4107">
        <w:t>.</w:t>
      </w:r>
      <w:r w:rsidR="00987B41">
        <w:t>”</w:t>
      </w:r>
      <w:r w:rsidR="004E4107">
        <w:rPr>
          <w:rStyle w:val="FootnoteReference"/>
        </w:rPr>
        <w:footnoteReference w:id="16"/>
      </w:r>
      <w:r w:rsidR="00987B41">
        <w:t xml:space="preserve"> </w:t>
      </w:r>
      <w:r w:rsidR="00987B41" w:rsidRPr="007F29A6">
        <w:rPr>
          <w:rFonts w:eastAsia="Batang"/>
        </w:rPr>
        <w:t xml:space="preserve">With </w:t>
      </w:r>
      <w:r w:rsidR="00987B41">
        <w:rPr>
          <w:rFonts w:eastAsia="Batang"/>
        </w:rPr>
        <w:t>this physical</w:t>
      </w:r>
      <w:r w:rsidR="00987B41" w:rsidRPr="007F29A6">
        <w:rPr>
          <w:rFonts w:eastAsia="Batang"/>
        </w:rPr>
        <w:t xml:space="preserve"> transformation came a rise in cafés.</w:t>
      </w:r>
      <w:r w:rsidR="00987B41">
        <w:rPr>
          <w:rStyle w:val="FootnoteReference"/>
          <w:rFonts w:eastAsia="Batang"/>
        </w:rPr>
        <w:footnoteReference w:id="17"/>
      </w:r>
      <w:r w:rsidR="00987B41">
        <w:rPr>
          <w:rFonts w:eastAsia="Batang"/>
        </w:rPr>
        <w:t xml:space="preserve"> </w:t>
      </w:r>
      <w:r w:rsidR="000A6037">
        <w:t>Although few scholars have studied the café as an artistic tool, many have studied the café and its cultural significance to Paris.</w:t>
      </w:r>
      <w:r w:rsidR="000A6037">
        <w:rPr>
          <w:rStyle w:val="FootnoteReference"/>
        </w:rPr>
        <w:footnoteReference w:id="18"/>
      </w:r>
      <w:r w:rsidR="000A6037">
        <w:t xml:space="preserve"> </w:t>
      </w:r>
      <w:r w:rsidR="00987B41">
        <w:rPr>
          <w:rFonts w:eastAsia="Batang"/>
        </w:rPr>
        <w:t xml:space="preserve">These establishments </w:t>
      </w:r>
      <w:r w:rsidR="00987B41" w:rsidRPr="007F29A6">
        <w:rPr>
          <w:rFonts w:eastAsia="Batang"/>
        </w:rPr>
        <w:t>became the meeting place of Parisian society, fostering sociability and “café-friendships.”</w:t>
      </w:r>
      <w:r w:rsidR="004E4107">
        <w:rPr>
          <w:rStyle w:val="FootnoteReference"/>
          <w:rFonts w:eastAsia="Batang"/>
        </w:rPr>
        <w:footnoteReference w:id="19"/>
      </w:r>
      <w:r w:rsidR="00987B41">
        <w:rPr>
          <w:rFonts w:eastAsia="Batang"/>
        </w:rPr>
        <w:t xml:space="preserve"> People saw the café as an </w:t>
      </w:r>
      <w:r w:rsidR="00152034">
        <w:rPr>
          <w:rFonts w:eastAsia="Batang"/>
        </w:rPr>
        <w:t>arena</w:t>
      </w:r>
      <w:r w:rsidR="00987B41">
        <w:rPr>
          <w:rFonts w:eastAsia="Batang"/>
        </w:rPr>
        <w:t xml:space="preserve"> to explore social relations</w:t>
      </w:r>
      <w:r w:rsidR="00152034">
        <w:rPr>
          <w:rFonts w:eastAsia="Batang"/>
        </w:rPr>
        <w:t>, with</w:t>
      </w:r>
      <w:r w:rsidR="00987B41" w:rsidRPr="007F29A6">
        <w:rPr>
          <w:rFonts w:eastAsia="Batang"/>
        </w:rPr>
        <w:t xml:space="preserve"> groups such as workers and artists </w:t>
      </w:r>
      <w:r w:rsidR="00152034">
        <w:rPr>
          <w:rFonts w:eastAsia="Batang"/>
        </w:rPr>
        <w:t xml:space="preserve">taking </w:t>
      </w:r>
      <w:r w:rsidR="00987B41" w:rsidRPr="007F29A6">
        <w:rPr>
          <w:rFonts w:eastAsia="Batang"/>
        </w:rPr>
        <w:t>the opportunity to deliberate with each other and those from other classes.</w:t>
      </w:r>
      <w:r w:rsidR="005336DB">
        <w:rPr>
          <w:rStyle w:val="FootnoteReference"/>
          <w:rFonts w:eastAsia="Batang"/>
        </w:rPr>
        <w:footnoteReference w:id="20"/>
      </w:r>
      <w:r w:rsidR="00987B41" w:rsidRPr="007F29A6">
        <w:rPr>
          <w:rFonts w:eastAsia="Batang"/>
        </w:rPr>
        <w:t xml:space="preserve"> </w:t>
      </w:r>
      <w:r w:rsidR="00152034">
        <w:rPr>
          <w:rFonts w:eastAsia="Batang"/>
        </w:rPr>
        <w:t xml:space="preserve">These new relationships fostered cultural exchange and transmission in a way that Paris pre-Haussmannization failed to offer. </w:t>
      </w:r>
      <w:r w:rsidR="00987B41">
        <w:rPr>
          <w:rFonts w:eastAsia="Batang"/>
        </w:rPr>
        <w:t xml:space="preserve">Not all cafes operated in this fashion though; some had a more impersonal and alienating environment </w:t>
      </w:r>
      <w:r w:rsidR="007A690F">
        <w:rPr>
          <w:rFonts w:eastAsia="Batang"/>
        </w:rPr>
        <w:t>as opposed to</w:t>
      </w:r>
      <w:r w:rsidR="00987B41">
        <w:rPr>
          <w:rFonts w:eastAsia="Batang"/>
        </w:rPr>
        <w:t xml:space="preserve"> warm and inviting atmospheres.</w:t>
      </w:r>
      <w:r w:rsidR="005336DB">
        <w:rPr>
          <w:rStyle w:val="FootnoteReference"/>
          <w:rFonts w:eastAsia="Batang"/>
        </w:rPr>
        <w:footnoteReference w:id="21"/>
      </w:r>
      <w:r w:rsidR="00987B41">
        <w:rPr>
          <w:rFonts w:eastAsia="Batang"/>
        </w:rPr>
        <w:t xml:space="preserve"> </w:t>
      </w:r>
      <w:r>
        <w:rPr>
          <w:rFonts w:eastAsia="Batang"/>
        </w:rPr>
        <w:t>While most Parisians and tourists praised Haussmannization, those who opposed Napoleon III felt differently</w:t>
      </w:r>
      <w:r w:rsidR="005336DB">
        <w:rPr>
          <w:rFonts w:eastAsia="Batang"/>
        </w:rPr>
        <w:t>; t</w:t>
      </w:r>
      <w:r>
        <w:rPr>
          <w:rFonts w:eastAsia="Batang"/>
        </w:rPr>
        <w:t>hey criticized the renovation for destroying the city’s charm and history characterized by its medieval streets</w:t>
      </w:r>
      <w:r w:rsidR="005336DB">
        <w:rPr>
          <w:rFonts w:eastAsia="Batang"/>
        </w:rPr>
        <w:t>.</w:t>
      </w:r>
      <w:r w:rsidR="005336DB">
        <w:rPr>
          <w:rStyle w:val="FootnoteReference"/>
          <w:rFonts w:eastAsia="Batang"/>
        </w:rPr>
        <w:footnoteReference w:id="22"/>
      </w:r>
    </w:p>
    <w:p w14:paraId="5262C3ED" w14:textId="1090052A" w:rsidR="00F15F33" w:rsidRDefault="00F46C99" w:rsidP="00107B2A">
      <w:pPr>
        <w:spacing w:line="480" w:lineRule="auto"/>
        <w:ind w:firstLine="720"/>
      </w:pPr>
      <w:r>
        <w:t>The café deeply intertwined with politics. Known as prime sites for sedition and debauchery, Napoleon opposed the café and authorized his police to close any deemed to threaten the country’s political or moral order.</w:t>
      </w:r>
      <w:r w:rsidR="005336DB">
        <w:rPr>
          <w:rStyle w:val="FootnoteReference"/>
        </w:rPr>
        <w:footnoteReference w:id="23"/>
      </w:r>
      <w:r>
        <w:t xml:space="preserve"> </w:t>
      </w:r>
      <w:r w:rsidR="00F15F33">
        <w:t>Police often kept close surveillance over these spaces, recognizing that activities like eating, drinking, and talking helped conceal political discussion and organization.</w:t>
      </w:r>
      <w:r w:rsidR="005336DB">
        <w:rPr>
          <w:rStyle w:val="FootnoteReference"/>
        </w:rPr>
        <w:footnoteReference w:id="24"/>
      </w:r>
      <w:r w:rsidR="00F15F33">
        <w:t xml:space="preserve"> Nonetheless, c</w:t>
      </w:r>
      <w:r w:rsidR="00F34C56">
        <w:t xml:space="preserve">afes continued to serve as arenas for mobilization; </w:t>
      </w:r>
      <w:r w:rsidR="00F34C56">
        <w:lastRenderedPageBreak/>
        <w:t>workers gathered there to devise tactics for everyday challenges including coping with the police.</w:t>
      </w:r>
      <w:r w:rsidR="00F15F33">
        <w:t xml:space="preserve"> As Haine notes, “workers compensated for political repression, poor housing, and diminished control over work by using cafes as meeting rooms, supplemental housing, and sites for fraternization during work hours.”</w:t>
      </w:r>
      <w:r w:rsidR="005336DB">
        <w:rPr>
          <w:rStyle w:val="FootnoteReference"/>
        </w:rPr>
        <w:footnoteReference w:id="25"/>
      </w:r>
    </w:p>
    <w:p w14:paraId="0443047F" w14:textId="3E303C49" w:rsidR="00791F69" w:rsidRPr="00791F69" w:rsidRDefault="00F15F33" w:rsidP="00107B2A">
      <w:pPr>
        <w:spacing w:line="480" w:lineRule="auto"/>
        <w:ind w:firstLine="720"/>
        <w:rPr>
          <w:rFonts w:eastAsia="Batang"/>
        </w:rPr>
      </w:pPr>
      <w:r>
        <w:rPr>
          <w:rFonts w:eastAsia="Batang"/>
        </w:rPr>
        <w:t>Bohemia’s emergence in the 1840s overlapped with these changes. The movement comprised of young artists and intellectuals who countered the conventional bourgeois lifestyle epitomized by comfort, order, and stability.</w:t>
      </w:r>
      <w:r w:rsidR="005336DB">
        <w:rPr>
          <w:rStyle w:val="FootnoteReference"/>
          <w:rFonts w:eastAsia="Batang"/>
        </w:rPr>
        <w:footnoteReference w:id="26"/>
      </w:r>
      <w:r>
        <w:rPr>
          <w:rFonts w:eastAsia="Batang"/>
        </w:rPr>
        <w:t xml:space="preserve"> Bohemians advocated for a rebellious yet creative approach to life instead. Conditions such as Napoleon’s reign and industrialization helped crystalize Bohemianism, as many of its members felt the effects of economic inequality, political repression, and cultural exclusion.</w:t>
      </w:r>
      <w:r w:rsidR="005336DB">
        <w:rPr>
          <w:rStyle w:val="FootnoteReference"/>
          <w:rFonts w:eastAsia="Batang"/>
        </w:rPr>
        <w:footnoteReference w:id="27"/>
      </w:r>
      <w:r>
        <w:rPr>
          <w:rFonts w:eastAsia="Batang"/>
        </w:rPr>
        <w:t xml:space="preserve"> Their congregations in cafes </w:t>
      </w:r>
      <w:r w:rsidR="001B21AC">
        <w:rPr>
          <w:rFonts w:eastAsia="Batang"/>
        </w:rPr>
        <w:t>played an especially significant role in establishing their subculture within French society</w:t>
      </w:r>
      <w:r w:rsidR="009D73E5">
        <w:rPr>
          <w:rFonts w:eastAsia="Batang"/>
        </w:rPr>
        <w:t>, which Delvau hints to while discussing the café’s role in fostering socialization</w:t>
      </w:r>
      <w:r w:rsidR="005336DB">
        <w:rPr>
          <w:rFonts w:eastAsia="Batang"/>
        </w:rPr>
        <w:t xml:space="preserve"> among artists and intellectuals.</w:t>
      </w:r>
      <w:r w:rsidR="005336DB">
        <w:rPr>
          <w:rStyle w:val="FootnoteReference"/>
          <w:rFonts w:eastAsia="Batang"/>
        </w:rPr>
        <w:footnoteReference w:id="28"/>
      </w:r>
    </w:p>
    <w:p w14:paraId="30C3E4EF" w14:textId="7CE19100" w:rsidR="001E569E" w:rsidRDefault="00791F69" w:rsidP="00107B2A">
      <w:pPr>
        <w:spacing w:line="480" w:lineRule="auto"/>
        <w:ind w:firstLine="720"/>
        <w:rPr>
          <w:rFonts w:eastAsia="Batang"/>
        </w:rPr>
      </w:pPr>
      <w:r>
        <w:rPr>
          <w:rFonts w:eastAsia="Batang"/>
        </w:rPr>
        <w:t xml:space="preserve">By documenting certain Parisian cafés as democratized public spaces, Delvau successfully captures the </w:t>
      </w:r>
      <w:r w:rsidR="009B3D66">
        <w:rPr>
          <w:rFonts w:eastAsia="Batang"/>
        </w:rPr>
        <w:t xml:space="preserve">increased </w:t>
      </w:r>
      <w:r>
        <w:rPr>
          <w:rFonts w:eastAsia="Batang"/>
        </w:rPr>
        <w:t xml:space="preserve">social </w:t>
      </w:r>
      <w:r w:rsidRPr="00B06F8F">
        <w:rPr>
          <w:rFonts w:eastAsia="Batang"/>
        </w:rPr>
        <w:t>fluidity</w:t>
      </w:r>
      <w:r>
        <w:rPr>
          <w:rFonts w:eastAsia="Batang"/>
        </w:rPr>
        <w:t xml:space="preserve"> that arises under Haussmannization. </w:t>
      </w:r>
      <w:r w:rsidR="001804F9">
        <w:t>The renovation went far beyond transforming the physical landscape but altered social dynamics as well. For example, Delvau writes</w:t>
      </w:r>
      <w:r w:rsidR="003D371E">
        <w:t xml:space="preserve"> that Café Procope was </w:t>
      </w:r>
      <w:r w:rsidR="003D371E">
        <w:rPr>
          <w:rFonts w:eastAsia="Batang"/>
        </w:rPr>
        <w:t>“</w:t>
      </w:r>
      <w:r w:rsidR="003D371E" w:rsidRPr="00624F32">
        <w:rPr>
          <w:rFonts w:eastAsia="Batang"/>
        </w:rPr>
        <w:t>fréquenté par la meilleure compagnie et par la plus illustre, des gardes du roi et des philosophes, des gentilshommes et des académiciens</w:t>
      </w:r>
      <w:r w:rsidR="003D371E">
        <w:rPr>
          <w:rFonts w:eastAsia="Batang"/>
        </w:rPr>
        <w:t>.”</w:t>
      </w:r>
      <w:r w:rsidR="00B34A0F">
        <w:rPr>
          <w:rStyle w:val="FootnoteReference"/>
          <w:rFonts w:eastAsia="Batang"/>
        </w:rPr>
        <w:footnoteReference w:id="29"/>
      </w:r>
      <w:r w:rsidR="003D371E">
        <w:rPr>
          <w:rFonts w:eastAsia="Batang"/>
        </w:rPr>
        <w:t xml:space="preserve"> </w:t>
      </w:r>
      <w:r w:rsidR="001804F9">
        <w:rPr>
          <w:rFonts w:eastAsia="Batang"/>
        </w:rPr>
        <w:t>Other regulars in the café included students, booksellers, artists, editors, a strong chess player, doctors, and engravers.</w:t>
      </w:r>
      <w:r w:rsidR="00B34A0F">
        <w:rPr>
          <w:rStyle w:val="FootnoteReference"/>
          <w:rFonts w:eastAsia="Batang"/>
        </w:rPr>
        <w:footnoteReference w:id="30"/>
      </w:r>
      <w:r w:rsidR="001804F9">
        <w:rPr>
          <w:rFonts w:eastAsia="Batang"/>
        </w:rPr>
        <w:t xml:space="preserve"> By listing such varied patrons, Delvau depicts the </w:t>
      </w:r>
      <w:r w:rsidR="001804F9">
        <w:rPr>
          <w:rFonts w:eastAsia="Batang"/>
        </w:rPr>
        <w:lastRenderedPageBreak/>
        <w:t xml:space="preserve">café as an environment that blurs hierarchies and incites cross-class dialogue. The aristocrat, student, and artistic crowd, while all vastly different, deemed the café a gathering spot where they voluntarily chose to spend their time. </w:t>
      </w:r>
      <w:r w:rsidR="00DA297E">
        <w:rPr>
          <w:rFonts w:eastAsia="Batang"/>
        </w:rPr>
        <w:t xml:space="preserve">This juxtaposition </w:t>
      </w:r>
      <w:r w:rsidR="000B417A">
        <w:rPr>
          <w:rFonts w:eastAsia="Batang"/>
        </w:rPr>
        <w:t xml:space="preserve">in social status </w:t>
      </w:r>
      <w:r w:rsidR="00DA297E">
        <w:rPr>
          <w:rFonts w:eastAsia="Batang"/>
        </w:rPr>
        <w:t xml:space="preserve">reflects a commitment in </w:t>
      </w:r>
      <w:r w:rsidR="00020131">
        <w:rPr>
          <w:rFonts w:eastAsia="Batang"/>
        </w:rPr>
        <w:t xml:space="preserve">certain cafes </w:t>
      </w:r>
      <w:r w:rsidR="00DA297E">
        <w:rPr>
          <w:rFonts w:eastAsia="Batang"/>
        </w:rPr>
        <w:t xml:space="preserve">to set status aside and focus on </w:t>
      </w:r>
      <w:r w:rsidR="0096642E">
        <w:rPr>
          <w:rFonts w:eastAsia="Batang"/>
        </w:rPr>
        <w:t xml:space="preserve">cultivating a French cultural identity that encompasses different groups. </w:t>
      </w:r>
      <w:r w:rsidR="00561D10">
        <w:rPr>
          <w:rFonts w:eastAsia="Batang"/>
        </w:rPr>
        <w:t>The theatre community also integrated with others at the café</w:t>
      </w:r>
      <w:r w:rsidR="00DA297E">
        <w:rPr>
          <w:rFonts w:eastAsia="Batang"/>
        </w:rPr>
        <w:t xml:space="preserve">. The crowd included </w:t>
      </w:r>
      <w:r w:rsidR="00561D10">
        <w:rPr>
          <w:rFonts w:eastAsia="Batang"/>
        </w:rPr>
        <w:t>“</w:t>
      </w:r>
      <w:r w:rsidR="00561D10" w:rsidRPr="007F247F">
        <w:rPr>
          <w:rFonts w:eastAsia="Batang"/>
        </w:rPr>
        <w:t>les acteurs et les employés du théâtre, pères nobles et moucheurs de chandelles, traîtres et chefs de claque, puis les auteurs dramatiques, puis les spectateurs du soir, puis d’autres gens.</w:t>
      </w:r>
      <w:r w:rsidR="00561D10">
        <w:rPr>
          <w:rFonts w:eastAsia="Batang"/>
        </w:rPr>
        <w:t>”</w:t>
      </w:r>
      <w:r w:rsidR="00B34A0F">
        <w:rPr>
          <w:rStyle w:val="FootnoteReference"/>
          <w:rFonts w:eastAsia="Batang"/>
        </w:rPr>
        <w:footnoteReference w:id="31"/>
      </w:r>
      <w:r w:rsidR="00DA297E">
        <w:rPr>
          <w:rFonts w:eastAsia="Batang"/>
        </w:rPr>
        <w:t xml:space="preserve"> Social mixing between groups</w:t>
      </w:r>
      <w:r w:rsidR="0096642E">
        <w:rPr>
          <w:rFonts w:eastAsia="Batang"/>
        </w:rPr>
        <w:t xml:space="preserve"> such as distinguished actors, backstage workers, and spectators’ who come </w:t>
      </w:r>
      <w:r w:rsidR="000B417A">
        <w:rPr>
          <w:rFonts w:eastAsia="Batang"/>
        </w:rPr>
        <w:t xml:space="preserve">from different </w:t>
      </w:r>
      <w:r w:rsidR="0096642E">
        <w:rPr>
          <w:rFonts w:eastAsia="Batang"/>
        </w:rPr>
        <w:t>classes further exemplifies</w:t>
      </w:r>
      <w:r w:rsidR="00DA297E">
        <w:rPr>
          <w:rFonts w:eastAsia="Batang"/>
        </w:rPr>
        <w:t xml:space="preserve"> </w:t>
      </w:r>
      <w:r w:rsidR="00020131">
        <w:rPr>
          <w:rFonts w:eastAsia="Batang"/>
        </w:rPr>
        <w:t xml:space="preserve">certain </w:t>
      </w:r>
      <w:r w:rsidR="00DA297E">
        <w:rPr>
          <w:rFonts w:eastAsia="Batang"/>
        </w:rPr>
        <w:t>café</w:t>
      </w:r>
      <w:r w:rsidR="00020131">
        <w:rPr>
          <w:rFonts w:eastAsia="Batang"/>
        </w:rPr>
        <w:t>s</w:t>
      </w:r>
      <w:r w:rsidR="00DA297E">
        <w:rPr>
          <w:rFonts w:eastAsia="Batang"/>
        </w:rPr>
        <w:t xml:space="preserve"> as egalitarian space</w:t>
      </w:r>
      <w:r w:rsidR="00020131">
        <w:rPr>
          <w:rFonts w:eastAsia="Batang"/>
        </w:rPr>
        <w:t>s</w:t>
      </w:r>
      <w:r w:rsidR="00DA297E">
        <w:rPr>
          <w:rFonts w:eastAsia="Batang"/>
        </w:rPr>
        <w:t xml:space="preserve"> </w:t>
      </w:r>
      <w:r w:rsidR="000B417A">
        <w:rPr>
          <w:rFonts w:eastAsia="Batang"/>
        </w:rPr>
        <w:t xml:space="preserve">that </w:t>
      </w:r>
      <w:r w:rsidR="00020131">
        <w:rPr>
          <w:rFonts w:eastAsia="Batang"/>
        </w:rPr>
        <w:t>bridge</w:t>
      </w:r>
      <w:r w:rsidR="000B417A">
        <w:rPr>
          <w:rFonts w:eastAsia="Batang"/>
        </w:rPr>
        <w:t xml:space="preserve"> socioeconomic divides.</w:t>
      </w:r>
      <w:r w:rsidR="0096642E">
        <w:rPr>
          <w:rFonts w:eastAsia="Batang"/>
        </w:rPr>
        <w:t xml:space="preserve"> This</w:t>
      </w:r>
      <w:r>
        <w:rPr>
          <w:rFonts w:eastAsia="Batang"/>
        </w:rPr>
        <w:t xml:space="preserve"> social</w:t>
      </w:r>
      <w:r w:rsidR="0096642E">
        <w:rPr>
          <w:rFonts w:eastAsia="Batang"/>
        </w:rPr>
        <w:t xml:space="preserve"> diversity enhances the café’s environment and challenges perceptions of Paris as a city </w:t>
      </w:r>
      <w:r w:rsidR="00B06F8F">
        <w:rPr>
          <w:rFonts w:eastAsia="Batang"/>
        </w:rPr>
        <w:t>dominated by the bourgeois</w:t>
      </w:r>
      <w:r w:rsidR="0096642E">
        <w:rPr>
          <w:rFonts w:eastAsia="Batang"/>
        </w:rPr>
        <w:t xml:space="preserve">. </w:t>
      </w:r>
      <w:r w:rsidR="00561D10">
        <w:rPr>
          <w:rFonts w:eastAsia="Batang"/>
        </w:rPr>
        <w:t xml:space="preserve">Furthermore, </w:t>
      </w:r>
      <w:r w:rsidR="000B417A">
        <w:rPr>
          <w:rFonts w:eastAsia="Batang"/>
        </w:rPr>
        <w:t>Delvau acknowledges “c</w:t>
      </w:r>
      <w:r w:rsidR="000B417A" w:rsidRPr="005A3210">
        <w:rPr>
          <w:rFonts w:eastAsia="Batang"/>
        </w:rPr>
        <w:t>onsommateurs des deux sexes, hommes et femmes</w:t>
      </w:r>
      <w:r w:rsidR="000B417A">
        <w:rPr>
          <w:rFonts w:eastAsia="Batang"/>
        </w:rPr>
        <w:t>” in the café.</w:t>
      </w:r>
      <w:r w:rsidR="00B34A0F">
        <w:rPr>
          <w:rStyle w:val="FootnoteReference"/>
          <w:rFonts w:eastAsia="Batang"/>
        </w:rPr>
        <w:footnoteReference w:id="32"/>
      </w:r>
      <w:r w:rsidR="000B417A">
        <w:rPr>
          <w:rFonts w:eastAsia="Batang"/>
        </w:rPr>
        <w:t xml:space="preserve"> </w:t>
      </w:r>
      <w:r w:rsidR="0096642E">
        <w:rPr>
          <w:rFonts w:eastAsia="Batang"/>
        </w:rPr>
        <w:t xml:space="preserve">More women spent their time in public social spaces than before and the café </w:t>
      </w:r>
      <w:r w:rsidR="00B06F8F">
        <w:rPr>
          <w:rFonts w:eastAsia="Batang"/>
        </w:rPr>
        <w:t>played an especially important role in</w:t>
      </w:r>
      <w:r w:rsidR="00B90FD3">
        <w:rPr>
          <w:rFonts w:eastAsia="Batang"/>
        </w:rPr>
        <w:t xml:space="preserve"> </w:t>
      </w:r>
      <w:r w:rsidR="00B06F8F">
        <w:rPr>
          <w:rFonts w:eastAsia="Batang"/>
        </w:rPr>
        <w:t>facilitating</w:t>
      </w:r>
      <w:r w:rsidR="00B90FD3">
        <w:rPr>
          <w:rFonts w:eastAsia="Batang"/>
        </w:rPr>
        <w:t xml:space="preserve"> interaction</w:t>
      </w:r>
      <w:r w:rsidR="000B417A">
        <w:rPr>
          <w:rFonts w:eastAsia="Batang"/>
        </w:rPr>
        <w:t xml:space="preserve"> between the genders</w:t>
      </w:r>
      <w:r w:rsidR="00B06F8F">
        <w:rPr>
          <w:rFonts w:eastAsia="Batang"/>
        </w:rPr>
        <w:t>.</w:t>
      </w:r>
      <w:r w:rsidR="007C4D73">
        <w:rPr>
          <w:rStyle w:val="FootnoteReference"/>
          <w:rFonts w:eastAsia="Batang"/>
        </w:rPr>
        <w:footnoteReference w:id="33"/>
      </w:r>
      <w:r w:rsidR="00B06F8F">
        <w:rPr>
          <w:rFonts w:eastAsia="Batang"/>
        </w:rPr>
        <w:t xml:space="preserve"> Their time spent together in the same public space underscores women’s gaining prominence </w:t>
      </w:r>
      <w:r>
        <w:rPr>
          <w:rFonts w:eastAsia="Batang"/>
        </w:rPr>
        <w:t xml:space="preserve">as key figures who can positively contribute to Parisian social life. </w:t>
      </w:r>
      <w:r w:rsidR="007C4D73">
        <w:rPr>
          <w:rFonts w:eastAsia="Batang"/>
        </w:rPr>
        <w:t>By intentionally choosing to highlight these diverse spaces</w:t>
      </w:r>
      <w:r>
        <w:rPr>
          <w:rFonts w:eastAsia="Batang"/>
        </w:rPr>
        <w:t xml:space="preserve">, Delvau </w:t>
      </w:r>
      <w:r w:rsidR="007C4D73">
        <w:rPr>
          <w:rFonts w:eastAsia="Batang"/>
        </w:rPr>
        <w:t xml:space="preserve">acknowledges the café’s potential to foster a more interconnected society that can, consequently, help create a more inclusive cultural identity. </w:t>
      </w:r>
    </w:p>
    <w:p w14:paraId="49D10CD8" w14:textId="09FBC653" w:rsidR="005C1FAF" w:rsidRDefault="00B90FD3" w:rsidP="00107B2A">
      <w:pPr>
        <w:spacing w:line="480" w:lineRule="auto"/>
        <w:ind w:firstLine="720"/>
        <w:rPr>
          <w:rFonts w:eastAsia="Batang"/>
        </w:rPr>
      </w:pPr>
      <w:r>
        <w:t>At the same time, Delvau consciously depicts a café’s location and its clientele to highlight</w:t>
      </w:r>
      <w:r w:rsidR="009B3D66">
        <w:t xml:space="preserve"> geographical</w:t>
      </w:r>
      <w:r>
        <w:t xml:space="preserve"> </w:t>
      </w:r>
      <w:r w:rsidR="009B3D66">
        <w:t>social</w:t>
      </w:r>
      <w:r>
        <w:t xml:space="preserve"> stratification, acknowledging the limits of democratized public </w:t>
      </w:r>
      <w:r>
        <w:lastRenderedPageBreak/>
        <w:t xml:space="preserve">spaces. He </w:t>
      </w:r>
      <w:r w:rsidR="009B3D66">
        <w:t>acknowledges</w:t>
      </w:r>
      <w:r>
        <w:t xml:space="preserve"> that, “</w:t>
      </w:r>
      <w:r>
        <w:rPr>
          <w:rFonts w:eastAsia="Batang"/>
        </w:rPr>
        <w:t>c</w:t>
      </w:r>
      <w:r w:rsidRPr="00886EC9">
        <w:rPr>
          <w:rFonts w:eastAsia="Batang"/>
        </w:rPr>
        <w:t>haque quartier, chaque rue ayant sa population propre, les cabarets ou les cafés qui se trouvent dans ces quartiers ou dans ces rues ont naturellement leurs habitants pour habitués.</w:t>
      </w:r>
      <w:r>
        <w:t>”</w:t>
      </w:r>
      <w:r w:rsidR="00B34A0F">
        <w:rPr>
          <w:rStyle w:val="FootnoteReference"/>
        </w:rPr>
        <w:footnoteReference w:id="34"/>
      </w:r>
      <w:r>
        <w:t xml:space="preserve"> </w:t>
      </w:r>
      <w:r w:rsidR="009B3D66">
        <w:t xml:space="preserve">While some cafes attracted a more diverse crowd, </w:t>
      </w:r>
      <w:r w:rsidR="007A690F">
        <w:t xml:space="preserve">the </w:t>
      </w:r>
      <w:r w:rsidR="009B3D66">
        <w:t xml:space="preserve">socioeconomic status of </w:t>
      </w:r>
      <w:r w:rsidR="007A690F">
        <w:t>the</w:t>
      </w:r>
      <w:r w:rsidR="009B3D66">
        <w:t xml:space="preserve"> area</w:t>
      </w:r>
      <w:r w:rsidR="007A690F">
        <w:t xml:space="preserve"> shaped others</w:t>
      </w:r>
      <w:r w:rsidR="009B3D66">
        <w:t xml:space="preserve">. </w:t>
      </w:r>
      <w:r>
        <w:t xml:space="preserve">For example, </w:t>
      </w:r>
      <w:r w:rsidR="009B3D66">
        <w:t>Delvau</w:t>
      </w:r>
      <w:r>
        <w:t xml:space="preserve"> highlights Café Riche as a space for the bourgeois and aristocracy; </w:t>
      </w:r>
      <w:r>
        <w:rPr>
          <w:rFonts w:eastAsia="Batang"/>
        </w:rPr>
        <w:t>“</w:t>
      </w:r>
      <w:r w:rsidRPr="008345F3">
        <w:rPr>
          <w:rFonts w:eastAsia="Batang"/>
        </w:rPr>
        <w:t>il est situé en plein boulevard des Italiens, et, comme lui, il reçoit l’élite de la société parisienne, de la bonne, la société littéraire et artistique.</w:t>
      </w:r>
      <w:r>
        <w:rPr>
          <w:rFonts w:eastAsia="Batang"/>
        </w:rPr>
        <w:t>”</w:t>
      </w:r>
      <w:r w:rsidR="00B34A0F">
        <w:rPr>
          <w:rStyle w:val="FootnoteReference"/>
          <w:rFonts w:eastAsia="Batang"/>
        </w:rPr>
        <w:footnoteReference w:id="35"/>
      </w:r>
      <w:r>
        <w:rPr>
          <w:rFonts w:eastAsia="Batang"/>
        </w:rPr>
        <w:t xml:space="preserve"> </w:t>
      </w:r>
      <w:r w:rsidR="00053B18">
        <w:rPr>
          <w:rFonts w:eastAsia="Batang"/>
        </w:rPr>
        <w:t>Its</w:t>
      </w:r>
      <w:r w:rsidR="009B3D66">
        <w:rPr>
          <w:rFonts w:eastAsia="Batang"/>
        </w:rPr>
        <w:t xml:space="preserve"> geographical placement </w:t>
      </w:r>
      <w:r w:rsidR="00053B18">
        <w:rPr>
          <w:rFonts w:eastAsia="Batang"/>
        </w:rPr>
        <w:t xml:space="preserve">directly </w:t>
      </w:r>
      <w:r w:rsidR="009B3D66">
        <w:rPr>
          <w:rFonts w:eastAsia="Batang"/>
        </w:rPr>
        <w:t xml:space="preserve">influences its wealthy clientele and distinguishes the space in a more exclusive way. </w:t>
      </w:r>
      <w:r w:rsidR="00053B18">
        <w:rPr>
          <w:rFonts w:eastAsia="Batang"/>
        </w:rPr>
        <w:t>The</w:t>
      </w:r>
      <w:r w:rsidR="009B3D66">
        <w:rPr>
          <w:rFonts w:eastAsia="Batang"/>
        </w:rPr>
        <w:t xml:space="preserve"> lack of diversity</w:t>
      </w:r>
      <w:r w:rsidR="00053B18">
        <w:rPr>
          <w:rFonts w:eastAsia="Batang"/>
        </w:rPr>
        <w:t xml:space="preserve"> further</w:t>
      </w:r>
      <w:r w:rsidR="009B3D66">
        <w:rPr>
          <w:rFonts w:eastAsia="Batang"/>
        </w:rPr>
        <w:t xml:space="preserve"> suggests that certain social groups </w:t>
      </w:r>
      <w:r w:rsidR="00053B18">
        <w:rPr>
          <w:rFonts w:eastAsia="Batang"/>
        </w:rPr>
        <w:t xml:space="preserve">confined themselves to one another, missing out on the benefits that intermixed café crowds experience during Haussmannization. </w:t>
      </w:r>
      <w:r>
        <w:rPr>
          <w:rFonts w:eastAsia="Batang"/>
        </w:rPr>
        <w:t>He goes on to write that, “b</w:t>
      </w:r>
      <w:r w:rsidRPr="008345F3">
        <w:rPr>
          <w:rFonts w:eastAsia="Batang"/>
        </w:rPr>
        <w:t>ourgeois et gens de lettres, banquiers et gandins, acteurs et artistes, tout le Paris qui sait vivre élégamment, confortablement, chèrement, a hanté, hante, ou hantera le café Riche.</w:t>
      </w:r>
      <w:r>
        <w:rPr>
          <w:rFonts w:eastAsia="Batang"/>
        </w:rPr>
        <w:t>”</w:t>
      </w:r>
      <w:r w:rsidR="00B34A0F">
        <w:rPr>
          <w:rStyle w:val="FootnoteReference"/>
          <w:rFonts w:eastAsia="Batang"/>
        </w:rPr>
        <w:footnoteReference w:id="36"/>
      </w:r>
      <w:r>
        <w:rPr>
          <w:rFonts w:eastAsia="Batang"/>
        </w:rPr>
        <w:t xml:space="preserve"> </w:t>
      </w:r>
      <w:r w:rsidR="00053B18">
        <w:rPr>
          <w:rFonts w:eastAsia="Batang"/>
        </w:rPr>
        <w:t>By associating the wealthy with the word “haunt,” Delvau</w:t>
      </w:r>
      <w:r w:rsidR="004342C6">
        <w:rPr>
          <w:rFonts w:eastAsia="Batang"/>
        </w:rPr>
        <w:t xml:space="preserve"> subtly</w:t>
      </w:r>
      <w:r w:rsidR="00053B18">
        <w:rPr>
          <w:rFonts w:eastAsia="Batang"/>
        </w:rPr>
        <w:t xml:space="preserve"> criticizes the elite social scene</w:t>
      </w:r>
      <w:r w:rsidR="004342C6">
        <w:rPr>
          <w:rFonts w:eastAsia="Batang"/>
        </w:rPr>
        <w:t xml:space="preserve"> where status and elegance trump the opportunity to create a more inclusive society. Meanwhile</w:t>
      </w:r>
      <w:r>
        <w:rPr>
          <w:rFonts w:eastAsia="Batang"/>
        </w:rPr>
        <w:t>, the geographic placement at Café Racine attracts a different crowd; “p</w:t>
      </w:r>
      <w:r w:rsidRPr="000A6528">
        <w:rPr>
          <w:rFonts w:eastAsia="Batang"/>
        </w:rPr>
        <w:t>ar sa situation en plein quartier Latin et par sa proximité du théâtre de l’Odéon, il a une double population, littéraire et étudiante.</w:t>
      </w:r>
      <w:r>
        <w:rPr>
          <w:rFonts w:eastAsia="Batang"/>
        </w:rPr>
        <w:t>”</w:t>
      </w:r>
      <w:r w:rsidR="00B34A0F">
        <w:rPr>
          <w:rStyle w:val="FootnoteReference"/>
          <w:rFonts w:eastAsia="Batang"/>
        </w:rPr>
        <w:footnoteReference w:id="37"/>
      </w:r>
      <w:r w:rsidR="00053B18">
        <w:rPr>
          <w:rFonts w:eastAsia="Batang"/>
        </w:rPr>
        <w:t xml:space="preserve"> Haussmannization created open and shared public spaces</w:t>
      </w:r>
      <w:r w:rsidR="004342C6">
        <w:rPr>
          <w:rFonts w:eastAsia="Batang"/>
        </w:rPr>
        <w:t xml:space="preserve"> but c</w:t>
      </w:r>
      <w:r w:rsidR="00053B18">
        <w:rPr>
          <w:rFonts w:eastAsia="Batang"/>
        </w:rPr>
        <w:t>ertain groups opted for the most convenient cafes</w:t>
      </w:r>
      <w:r w:rsidR="004342C6">
        <w:rPr>
          <w:rFonts w:eastAsia="Batang"/>
        </w:rPr>
        <w:t xml:space="preserve"> in proximity to their everyday activities. Delvau refrains from using language that expresses a disdain for their social segregation, suggesting instead that students and literary figures used the café to propel their intellectual pursuits. </w:t>
      </w:r>
      <w:r w:rsidR="007B031D">
        <w:rPr>
          <w:rFonts w:eastAsia="Batang"/>
        </w:rPr>
        <w:t xml:space="preserve">Modifying or fully eradicating these boundaries remains a difficult task </w:t>
      </w:r>
      <w:r w:rsidR="007B031D">
        <w:rPr>
          <w:rFonts w:eastAsia="Batang"/>
        </w:rPr>
        <w:lastRenderedPageBreak/>
        <w:t xml:space="preserve">so long as institutions relevant to the crowd stay in place. However, this social entrenchment </w:t>
      </w:r>
      <w:r w:rsidR="000116C5">
        <w:rPr>
          <w:rFonts w:eastAsia="Batang"/>
        </w:rPr>
        <w:t xml:space="preserve">undermines the </w:t>
      </w:r>
      <w:r w:rsidR="007A690F">
        <w:rPr>
          <w:rFonts w:eastAsia="Batang"/>
        </w:rPr>
        <w:t>efforts</w:t>
      </w:r>
      <w:r w:rsidR="000116C5">
        <w:rPr>
          <w:rFonts w:eastAsia="Batang"/>
        </w:rPr>
        <w:t xml:space="preserve"> </w:t>
      </w:r>
      <w:r w:rsidR="0039610B">
        <w:rPr>
          <w:rFonts w:eastAsia="Batang"/>
        </w:rPr>
        <w:t>visible in</w:t>
      </w:r>
      <w:r w:rsidR="000116C5">
        <w:rPr>
          <w:rFonts w:eastAsia="Batang"/>
        </w:rPr>
        <w:t xml:space="preserve"> other cafes to create a more egalitarian identity that can strengthen France.  </w:t>
      </w:r>
    </w:p>
    <w:p w14:paraId="4381D58D" w14:textId="60BDA241" w:rsidR="00C355EB" w:rsidRDefault="000116C5" w:rsidP="00107B2A">
      <w:pPr>
        <w:spacing w:line="480" w:lineRule="auto"/>
        <w:ind w:firstLine="720"/>
        <w:rPr>
          <w:rFonts w:eastAsia="Batang"/>
        </w:rPr>
      </w:pPr>
      <w:r>
        <w:rPr>
          <w:rFonts w:eastAsia="Batang"/>
        </w:rPr>
        <w:t xml:space="preserve">Nonetheless, </w:t>
      </w:r>
      <w:r w:rsidR="00C536FC" w:rsidRPr="00883C15">
        <w:rPr>
          <w:rFonts w:eastAsia="Batang"/>
        </w:rPr>
        <w:t xml:space="preserve">Delvau </w:t>
      </w:r>
      <w:r w:rsidR="00C536FC">
        <w:rPr>
          <w:rFonts w:eastAsia="Batang"/>
        </w:rPr>
        <w:t>p</w:t>
      </w:r>
      <w:r w:rsidR="00C536FC" w:rsidRPr="00883C15">
        <w:rPr>
          <w:rFonts w:eastAsia="Batang"/>
        </w:rPr>
        <w:t xml:space="preserve">aints a vivid portrait of cafés as </w:t>
      </w:r>
      <w:r w:rsidR="00C536FC">
        <w:rPr>
          <w:rFonts w:eastAsia="Batang"/>
        </w:rPr>
        <w:t xml:space="preserve">intellectual hubs, both for </w:t>
      </w:r>
      <w:r w:rsidR="008673A8">
        <w:rPr>
          <w:rFonts w:eastAsia="Batang"/>
        </w:rPr>
        <w:t xml:space="preserve">collective </w:t>
      </w:r>
      <w:r w:rsidR="00C536FC">
        <w:rPr>
          <w:rFonts w:eastAsia="Batang"/>
        </w:rPr>
        <w:t xml:space="preserve">discussion and personal learning, to stress their role in fostering ideas </w:t>
      </w:r>
      <w:r w:rsidR="008673A8">
        <w:rPr>
          <w:rFonts w:eastAsia="Batang"/>
        </w:rPr>
        <w:t>during</w:t>
      </w:r>
      <w:r w:rsidR="00C536FC">
        <w:rPr>
          <w:rFonts w:eastAsia="Batang"/>
        </w:rPr>
        <w:t xml:space="preserve"> a highly censored era. He recalls </w:t>
      </w:r>
      <w:r w:rsidR="00364AFB">
        <w:rPr>
          <w:rFonts w:eastAsia="Batang"/>
        </w:rPr>
        <w:t xml:space="preserve">animated </w:t>
      </w:r>
      <w:r w:rsidR="00C536FC">
        <w:rPr>
          <w:rFonts w:eastAsia="Batang"/>
        </w:rPr>
        <w:t>discussions at Café Minerve, writing, “o</w:t>
      </w:r>
      <w:r w:rsidR="00C536FC" w:rsidRPr="00B772E1">
        <w:rPr>
          <w:rFonts w:eastAsia="Batang"/>
        </w:rPr>
        <w:t>n est admis à contempler chaque soir, jouant au whist ou Philosophant, soit dans la salle commune, soit dans le petit salon qui donne sur la rue Richelieu, bon nombre de phalanstériens panachés d’artistes et de poètes</w:t>
      </w:r>
      <w:r w:rsidR="00C536FC">
        <w:rPr>
          <w:rFonts w:eastAsia="Batang"/>
        </w:rPr>
        <w:t>.”</w:t>
      </w:r>
      <w:r w:rsidR="00B34A0F">
        <w:rPr>
          <w:rStyle w:val="FootnoteReference"/>
          <w:rFonts w:eastAsia="Batang"/>
        </w:rPr>
        <w:footnoteReference w:id="38"/>
      </w:r>
      <w:r w:rsidR="00C536FC">
        <w:rPr>
          <w:rFonts w:eastAsia="Batang"/>
        </w:rPr>
        <w:t xml:space="preserve"> </w:t>
      </w:r>
      <w:r w:rsidR="00364AFB">
        <w:rPr>
          <w:rFonts w:eastAsia="Batang"/>
        </w:rPr>
        <w:t xml:space="preserve">The discussions between artists, poets, and members of the phalanstère utopian community </w:t>
      </w:r>
      <w:r w:rsidR="008673A8">
        <w:rPr>
          <w:rFonts w:eastAsia="Batang"/>
        </w:rPr>
        <w:t xml:space="preserve">further strengthens the café as a democratized public space as diverse groups gather to collaborate and </w:t>
      </w:r>
      <w:r w:rsidR="005500E4">
        <w:rPr>
          <w:rFonts w:eastAsia="Batang"/>
        </w:rPr>
        <w:t>debate</w:t>
      </w:r>
      <w:r w:rsidR="008673A8">
        <w:rPr>
          <w:rFonts w:eastAsia="Batang"/>
        </w:rPr>
        <w:t xml:space="preserve">. This exchange of ideas benefits </w:t>
      </w:r>
      <w:r w:rsidR="005500E4">
        <w:rPr>
          <w:rFonts w:eastAsia="Batang"/>
        </w:rPr>
        <w:t>all participants</w:t>
      </w:r>
      <w:r w:rsidR="00152C0B">
        <w:rPr>
          <w:rFonts w:eastAsia="Batang"/>
        </w:rPr>
        <w:t xml:space="preserve"> by</w:t>
      </w:r>
      <w:r w:rsidR="005500E4">
        <w:rPr>
          <w:rFonts w:eastAsia="Batang"/>
        </w:rPr>
        <w:t xml:space="preserve"> instilling an appreciation for critical thought</w:t>
      </w:r>
      <w:r w:rsidR="00152C0B">
        <w:rPr>
          <w:rFonts w:eastAsia="Batang"/>
        </w:rPr>
        <w:t xml:space="preserve"> and willingness to challenge other narratives, such as Napoleon’s government</w:t>
      </w:r>
      <w:r w:rsidR="005500E4">
        <w:rPr>
          <w:rFonts w:eastAsia="Batang"/>
        </w:rPr>
        <w:t>. Similarly</w:t>
      </w:r>
      <w:r w:rsidR="00364AFB">
        <w:rPr>
          <w:rFonts w:eastAsia="Batang"/>
        </w:rPr>
        <w:t xml:space="preserve">, </w:t>
      </w:r>
      <w:r w:rsidR="005500E4">
        <w:rPr>
          <w:rFonts w:eastAsia="Batang"/>
        </w:rPr>
        <w:t>Delvau</w:t>
      </w:r>
      <w:r w:rsidR="00364AFB">
        <w:rPr>
          <w:rFonts w:eastAsia="Batang"/>
        </w:rPr>
        <w:t xml:space="preserve"> notes that one room at Café Tabourey “</w:t>
      </w:r>
      <w:r w:rsidR="00364AFB" w:rsidRPr="002B3D93">
        <w:rPr>
          <w:rFonts w:eastAsia="Batang"/>
        </w:rPr>
        <w:t>est à peine envahie, dans la soirée, par quelques lettrés qui y viennent, par habitude, causer d’art et de philosophie</w:t>
      </w:r>
      <w:r w:rsidR="00364AFB">
        <w:rPr>
          <w:rFonts w:eastAsia="Batang"/>
        </w:rPr>
        <w:t>.”</w:t>
      </w:r>
      <w:r w:rsidR="00B34A0F">
        <w:rPr>
          <w:rStyle w:val="FootnoteReference"/>
          <w:rFonts w:eastAsia="Batang"/>
        </w:rPr>
        <w:footnoteReference w:id="39"/>
      </w:r>
      <w:r w:rsidR="00364AFB">
        <w:rPr>
          <w:rFonts w:eastAsia="Batang"/>
        </w:rPr>
        <w:t xml:space="preserve"> </w:t>
      </w:r>
      <w:r w:rsidR="00152C0B">
        <w:rPr>
          <w:rFonts w:eastAsia="Batang"/>
        </w:rPr>
        <w:t>He</w:t>
      </w:r>
      <w:r w:rsidR="00364AFB">
        <w:rPr>
          <w:rFonts w:eastAsia="Batang"/>
        </w:rPr>
        <w:t xml:space="preserve"> </w:t>
      </w:r>
      <w:r w:rsidR="00152C0B">
        <w:rPr>
          <w:rFonts w:eastAsia="Batang"/>
        </w:rPr>
        <w:t>stresses</w:t>
      </w:r>
      <w:r w:rsidR="00364AFB">
        <w:rPr>
          <w:rFonts w:eastAsia="Batang"/>
        </w:rPr>
        <w:t xml:space="preserve"> that certain crowds come regularly to discuss at the café, </w:t>
      </w:r>
      <w:r w:rsidR="00152C0B">
        <w:rPr>
          <w:rFonts w:eastAsia="Batang"/>
        </w:rPr>
        <w:t>solidifying</w:t>
      </w:r>
      <w:r w:rsidR="00364AFB">
        <w:rPr>
          <w:rFonts w:eastAsia="Batang"/>
        </w:rPr>
        <w:t xml:space="preserve"> the establishment’s multipurpose role as both a social and intellectual space. </w:t>
      </w:r>
      <w:r w:rsidR="005500E4">
        <w:rPr>
          <w:rFonts w:eastAsia="Batang"/>
        </w:rPr>
        <w:t xml:space="preserve">At the same time, in-person discussion </w:t>
      </w:r>
      <w:r w:rsidR="007A690F">
        <w:rPr>
          <w:rFonts w:eastAsia="Batang"/>
        </w:rPr>
        <w:t>allows</w:t>
      </w:r>
      <w:r w:rsidR="005500E4">
        <w:rPr>
          <w:rFonts w:eastAsia="Batang"/>
        </w:rPr>
        <w:t xml:space="preserve"> individuals to propose and discuss radical ideas </w:t>
      </w:r>
      <w:r w:rsidR="00102ACB">
        <w:rPr>
          <w:rFonts w:eastAsia="Batang"/>
        </w:rPr>
        <w:t>at a time when</w:t>
      </w:r>
      <w:r w:rsidR="005500E4">
        <w:rPr>
          <w:rFonts w:eastAsia="Batang"/>
        </w:rPr>
        <w:t xml:space="preserve"> </w:t>
      </w:r>
      <w:r w:rsidR="00102ACB">
        <w:rPr>
          <w:rFonts w:eastAsia="Batang"/>
        </w:rPr>
        <w:t xml:space="preserve">the </w:t>
      </w:r>
      <w:r w:rsidR="005500E4">
        <w:rPr>
          <w:rFonts w:eastAsia="Batang"/>
        </w:rPr>
        <w:t xml:space="preserve">government </w:t>
      </w:r>
      <w:r w:rsidR="007A690F">
        <w:rPr>
          <w:rFonts w:eastAsia="Batang"/>
        </w:rPr>
        <w:t>censor’s</w:t>
      </w:r>
      <w:r w:rsidR="00102ACB">
        <w:rPr>
          <w:rFonts w:eastAsia="Batang"/>
        </w:rPr>
        <w:t xml:space="preserve"> </w:t>
      </w:r>
      <w:r w:rsidR="00152C0B">
        <w:rPr>
          <w:rFonts w:eastAsia="Batang"/>
        </w:rPr>
        <w:t>literary works that try to do the same</w:t>
      </w:r>
      <w:r w:rsidR="005500E4">
        <w:rPr>
          <w:rFonts w:eastAsia="Batang"/>
        </w:rPr>
        <w:t xml:space="preserve">. </w:t>
      </w:r>
      <w:r w:rsidR="00152C0B">
        <w:rPr>
          <w:rFonts w:eastAsia="Batang"/>
        </w:rPr>
        <w:t xml:space="preserve">Crowds can subtly discuss politics under the guise of casual dialogue. </w:t>
      </w:r>
      <w:r w:rsidR="00364AFB">
        <w:rPr>
          <w:rFonts w:eastAsia="Batang"/>
        </w:rPr>
        <w:t>Delvau also addresses those who want a place for solitary reflection and learning; “</w:t>
      </w:r>
      <w:r w:rsidR="00364AFB" w:rsidRPr="00B772E1">
        <w:rPr>
          <w:rFonts w:eastAsia="Batang"/>
        </w:rPr>
        <w:t xml:space="preserve">à ceux de mes confrères qui aiment les endroits où l’on fait peu de bruit et où l’on trouve tous les journaux, ceux d’hier et ceux de demain, la </w:t>
      </w:r>
      <w:r w:rsidR="00364AFB" w:rsidRPr="00B772E1">
        <w:rPr>
          <w:rFonts w:eastAsia="Batang"/>
          <w:i/>
          <w:iCs/>
        </w:rPr>
        <w:t xml:space="preserve">Revue contemporaine </w:t>
      </w:r>
      <w:r w:rsidR="00364AFB" w:rsidRPr="00B772E1">
        <w:rPr>
          <w:rFonts w:eastAsia="Batang"/>
        </w:rPr>
        <w:t xml:space="preserve">et le </w:t>
      </w:r>
      <w:r w:rsidR="00364AFB" w:rsidRPr="00B772E1">
        <w:rPr>
          <w:rFonts w:eastAsia="Batang"/>
          <w:i/>
          <w:iCs/>
        </w:rPr>
        <w:lastRenderedPageBreak/>
        <w:t>Diogène</w:t>
      </w:r>
      <w:r w:rsidR="00364AFB">
        <w:rPr>
          <w:rFonts w:eastAsia="Batang"/>
        </w:rPr>
        <w:t>.”</w:t>
      </w:r>
      <w:r w:rsidR="00B34A0F">
        <w:rPr>
          <w:rStyle w:val="FootnoteReference"/>
          <w:rFonts w:eastAsia="Batang"/>
        </w:rPr>
        <w:footnoteReference w:id="40"/>
      </w:r>
      <w:r w:rsidR="00364AFB">
        <w:rPr>
          <w:rFonts w:eastAsia="Batang"/>
        </w:rPr>
        <w:t xml:space="preserve"> Newspapers and literary reviews </w:t>
      </w:r>
      <w:r w:rsidR="008673A8">
        <w:rPr>
          <w:rFonts w:eastAsia="Batang"/>
        </w:rPr>
        <w:t>serve</w:t>
      </w:r>
      <w:r w:rsidR="00364AFB">
        <w:rPr>
          <w:rFonts w:eastAsia="Batang"/>
        </w:rPr>
        <w:t xml:space="preserve"> as catalysts for </w:t>
      </w:r>
      <w:r w:rsidR="00152C0B">
        <w:rPr>
          <w:rFonts w:eastAsia="Batang"/>
        </w:rPr>
        <w:t>ideas</w:t>
      </w:r>
      <w:r w:rsidR="00364AFB">
        <w:rPr>
          <w:rFonts w:eastAsia="Batang"/>
        </w:rPr>
        <w:t xml:space="preserve"> by providing readers with information. </w:t>
      </w:r>
      <w:r w:rsidR="005500E4">
        <w:rPr>
          <w:rFonts w:eastAsia="Batang"/>
        </w:rPr>
        <w:t>T</w:t>
      </w:r>
      <w:r w:rsidR="008673A8">
        <w:rPr>
          <w:rFonts w:eastAsia="Batang"/>
        </w:rPr>
        <w:t xml:space="preserve">he contrast between the </w:t>
      </w:r>
      <w:r w:rsidR="005500E4">
        <w:rPr>
          <w:rFonts w:eastAsia="Batang"/>
        </w:rPr>
        <w:t xml:space="preserve">intellectual </w:t>
      </w:r>
      <w:r w:rsidR="008673A8">
        <w:rPr>
          <w:rFonts w:eastAsia="Batang"/>
          <w:i/>
          <w:iCs/>
        </w:rPr>
        <w:t xml:space="preserve">Revue contemporaine </w:t>
      </w:r>
      <w:r w:rsidR="008673A8">
        <w:rPr>
          <w:rFonts w:eastAsia="Batang"/>
        </w:rPr>
        <w:t xml:space="preserve">compared to the satirical </w:t>
      </w:r>
      <w:r w:rsidR="008673A8">
        <w:rPr>
          <w:rFonts w:eastAsia="Batang"/>
          <w:i/>
          <w:iCs/>
        </w:rPr>
        <w:t>Diogène</w:t>
      </w:r>
      <w:r w:rsidR="005500E4">
        <w:rPr>
          <w:rFonts w:eastAsia="Batang"/>
          <w:i/>
          <w:iCs/>
        </w:rPr>
        <w:t xml:space="preserve"> </w:t>
      </w:r>
      <w:r w:rsidR="005500E4">
        <w:rPr>
          <w:rFonts w:eastAsia="Batang"/>
        </w:rPr>
        <w:t>underscores the breadth of content</w:t>
      </w:r>
      <w:r w:rsidR="00CC5ADF">
        <w:rPr>
          <w:rFonts w:eastAsia="Batang"/>
        </w:rPr>
        <w:t xml:space="preserve"> and ideas </w:t>
      </w:r>
      <w:r w:rsidR="005500E4">
        <w:rPr>
          <w:rFonts w:eastAsia="Batang"/>
        </w:rPr>
        <w:t>available in</w:t>
      </w:r>
      <w:r w:rsidR="00CC5ADF">
        <w:rPr>
          <w:rFonts w:eastAsia="Batang"/>
        </w:rPr>
        <w:t xml:space="preserve"> certain</w:t>
      </w:r>
      <w:r w:rsidR="005500E4">
        <w:rPr>
          <w:rFonts w:eastAsia="Batang"/>
        </w:rPr>
        <w:t xml:space="preserve"> cafes.</w:t>
      </w:r>
      <w:r w:rsidR="008673A8">
        <w:rPr>
          <w:rFonts w:eastAsia="Batang"/>
          <w:i/>
          <w:iCs/>
        </w:rPr>
        <w:t xml:space="preserve"> </w:t>
      </w:r>
      <w:r w:rsidR="00364AFB">
        <w:rPr>
          <w:rFonts w:eastAsia="Batang"/>
        </w:rPr>
        <w:t>Patrons who read the newspapers</w:t>
      </w:r>
      <w:r w:rsidR="005500E4">
        <w:rPr>
          <w:rFonts w:eastAsia="Batang"/>
        </w:rPr>
        <w:t xml:space="preserve"> </w:t>
      </w:r>
      <w:r w:rsidR="00152C0B">
        <w:rPr>
          <w:rFonts w:eastAsia="Batang"/>
        </w:rPr>
        <w:t>can</w:t>
      </w:r>
      <w:r w:rsidR="005500E4">
        <w:rPr>
          <w:rFonts w:eastAsia="Batang"/>
        </w:rPr>
        <w:t xml:space="preserve"> engage with them privately or discuss their content with others at the café</w:t>
      </w:r>
      <w:r w:rsidR="00152C0B">
        <w:rPr>
          <w:rFonts w:eastAsia="Batang"/>
        </w:rPr>
        <w:t>, further opening the door for</w:t>
      </w:r>
      <w:r w:rsidR="007A0938">
        <w:rPr>
          <w:rFonts w:eastAsia="Batang"/>
        </w:rPr>
        <w:t xml:space="preserve"> intellectual growth and, possibly,</w:t>
      </w:r>
      <w:r w:rsidR="00152C0B">
        <w:rPr>
          <w:rFonts w:eastAsia="Batang"/>
        </w:rPr>
        <w:t xml:space="preserve"> </w:t>
      </w:r>
      <w:r w:rsidR="007A0938">
        <w:rPr>
          <w:rFonts w:eastAsia="Batang"/>
        </w:rPr>
        <w:t xml:space="preserve">ideas rooted in </w:t>
      </w:r>
      <w:r w:rsidR="00152C0B">
        <w:rPr>
          <w:rFonts w:eastAsia="Batang"/>
        </w:rPr>
        <w:t>political resistance</w:t>
      </w:r>
      <w:r w:rsidR="007A0938">
        <w:rPr>
          <w:rFonts w:eastAsia="Batang"/>
        </w:rPr>
        <w:t xml:space="preserve">. </w:t>
      </w:r>
      <w:r w:rsidR="007C4D73">
        <w:rPr>
          <w:rFonts w:eastAsia="Batang"/>
        </w:rPr>
        <w:t xml:space="preserve">By including these examples, Delvau praises the café as arenas </w:t>
      </w:r>
      <w:r w:rsidR="00CC5ADF">
        <w:rPr>
          <w:rFonts w:eastAsia="Batang"/>
        </w:rPr>
        <w:t xml:space="preserve">that can </w:t>
      </w:r>
      <w:r w:rsidR="007C4D73">
        <w:rPr>
          <w:rFonts w:eastAsia="Batang"/>
        </w:rPr>
        <w:t>transform Paris into a well-informed city with diverse ideas</w:t>
      </w:r>
      <w:r w:rsidR="00CC5ADF">
        <w:rPr>
          <w:rFonts w:eastAsia="Batang"/>
        </w:rPr>
        <w:t xml:space="preserve">. </w:t>
      </w:r>
    </w:p>
    <w:p w14:paraId="709E20EC" w14:textId="78E62AFD" w:rsidR="00201B9F" w:rsidRDefault="0039610B" w:rsidP="00107B2A">
      <w:pPr>
        <w:spacing w:line="480" w:lineRule="auto"/>
        <w:ind w:firstLine="720"/>
        <w:rPr>
          <w:rFonts w:eastAsia="Batang"/>
        </w:rPr>
      </w:pPr>
      <w:r w:rsidRPr="00D67ED4">
        <w:rPr>
          <w:rFonts w:eastAsia="Batang"/>
        </w:rPr>
        <w:t xml:space="preserve">Delvau </w:t>
      </w:r>
      <w:r>
        <w:rPr>
          <w:rFonts w:eastAsia="Batang"/>
        </w:rPr>
        <w:t xml:space="preserve">also </w:t>
      </w:r>
      <w:r w:rsidRPr="00D67ED4">
        <w:rPr>
          <w:rFonts w:eastAsia="Batang"/>
        </w:rPr>
        <w:t>glorifies the café experience</w:t>
      </w:r>
      <w:r>
        <w:rPr>
          <w:rFonts w:eastAsia="Batang"/>
        </w:rPr>
        <w:t xml:space="preserve"> during</w:t>
      </w:r>
      <w:r w:rsidRPr="00D67ED4">
        <w:rPr>
          <w:rFonts w:eastAsia="Batang"/>
        </w:rPr>
        <w:t xml:space="preserve"> pre-Napoleon</w:t>
      </w:r>
      <w:r>
        <w:rPr>
          <w:rFonts w:eastAsia="Batang"/>
        </w:rPr>
        <w:t>ic Paris</w:t>
      </w:r>
      <w:r w:rsidRPr="00D67ED4">
        <w:rPr>
          <w:rFonts w:eastAsia="Batang"/>
        </w:rPr>
        <w:t xml:space="preserve"> to criticize the </w:t>
      </w:r>
      <w:r>
        <w:rPr>
          <w:rFonts w:eastAsia="Batang"/>
        </w:rPr>
        <w:t xml:space="preserve">fading </w:t>
      </w:r>
      <w:r w:rsidR="00102ACB">
        <w:rPr>
          <w:rFonts w:eastAsia="Batang"/>
        </w:rPr>
        <w:t>prestige</w:t>
      </w:r>
      <w:r>
        <w:rPr>
          <w:rFonts w:eastAsia="Batang"/>
        </w:rPr>
        <w:t xml:space="preserve"> and lost grandeur of</w:t>
      </w:r>
      <w:r w:rsidRPr="00D67ED4">
        <w:rPr>
          <w:rFonts w:eastAsia="Batang"/>
        </w:rPr>
        <w:t xml:space="preserve"> Second Empire France</w:t>
      </w:r>
      <w:r>
        <w:rPr>
          <w:rFonts w:eastAsia="Batang"/>
        </w:rPr>
        <w:t>’s cafés</w:t>
      </w:r>
      <w:r w:rsidRPr="00D67ED4">
        <w:rPr>
          <w:rFonts w:eastAsia="Batang"/>
        </w:rPr>
        <w:t>.</w:t>
      </w:r>
      <w:r>
        <w:rPr>
          <w:rFonts w:eastAsia="Batang"/>
        </w:rPr>
        <w:t xml:space="preserve"> He imbues his reflections with nostalgia to show yet another side of modernity’s complex role in defining social spaces. For example, Café Foy helped spark the French Revolution. While visiting, Delvau notes</w:t>
      </w:r>
      <w:r w:rsidR="00201B9F">
        <w:rPr>
          <w:rFonts w:eastAsia="Batang"/>
        </w:rPr>
        <w:t xml:space="preserve">, </w:t>
      </w:r>
    </w:p>
    <w:p w14:paraId="32CAD833" w14:textId="77777777" w:rsidR="00201B9F" w:rsidRDefault="0039610B" w:rsidP="00201B9F">
      <w:pPr>
        <w:rPr>
          <w:rFonts w:eastAsia="Batang"/>
        </w:rPr>
      </w:pPr>
      <w:r>
        <w:rPr>
          <w:rFonts w:eastAsia="Batang"/>
        </w:rPr>
        <w:t>“</w:t>
      </w:r>
      <w:r w:rsidRPr="00404AEE">
        <w:rPr>
          <w:rFonts w:eastAsia="Batang"/>
        </w:rPr>
        <w:t xml:space="preserve">il me semblait que les murs allaient me raconter les légendes de cette fabuleuse époque qui avait changé la face de la France et du monde : Je fus désappointé. L’heure était mal choisie, sans doute (une après-midi de juillet), car je n’aperçus là que des tables désertes, quelques-unes seulement ornées de consommateurs silencieux, des vieillards qui lisaient gravement les gazettes du matin. J’avais peur de m’être trompé, et je ne m’étais pas trompé </w:t>
      </w:r>
      <w:r>
        <w:rPr>
          <w:rFonts w:eastAsia="Batang"/>
        </w:rPr>
        <w:t>‘</w:t>
      </w:r>
      <w:r w:rsidRPr="00404AEE">
        <w:rPr>
          <w:rFonts w:eastAsia="Batang"/>
        </w:rPr>
        <w:t>C’est ici le séjour des ombres, du sommeil, et de la nuit paisible</w:t>
      </w:r>
      <w:r>
        <w:rPr>
          <w:rFonts w:eastAsia="Batang"/>
        </w:rPr>
        <w:t>.’”</w:t>
      </w:r>
      <w:r w:rsidR="00B34A0F">
        <w:rPr>
          <w:rStyle w:val="FootnoteReference"/>
          <w:rFonts w:eastAsia="Batang"/>
        </w:rPr>
        <w:footnoteReference w:id="41"/>
      </w:r>
      <w:r>
        <w:rPr>
          <w:rFonts w:eastAsia="Batang"/>
        </w:rPr>
        <w:t xml:space="preserve"> </w:t>
      </w:r>
    </w:p>
    <w:p w14:paraId="52F152F7" w14:textId="77777777" w:rsidR="00201B9F" w:rsidRDefault="00201B9F" w:rsidP="00201B9F">
      <w:pPr>
        <w:rPr>
          <w:rFonts w:eastAsia="Batang"/>
        </w:rPr>
      </w:pPr>
    </w:p>
    <w:p w14:paraId="6C832E74" w14:textId="289439E5" w:rsidR="00563F70" w:rsidRDefault="002B265F" w:rsidP="00B75EB3">
      <w:pPr>
        <w:spacing w:line="480" w:lineRule="auto"/>
        <w:rPr>
          <w:rFonts w:eastAsia="Batang"/>
        </w:rPr>
      </w:pPr>
      <w:r>
        <w:rPr>
          <w:rFonts w:eastAsia="Batang"/>
        </w:rPr>
        <w:t xml:space="preserve">His melancholic tone suggests that </w:t>
      </w:r>
      <w:r w:rsidR="00B75EB3">
        <w:rPr>
          <w:rFonts w:eastAsia="Batang"/>
        </w:rPr>
        <w:t xml:space="preserve">some </w:t>
      </w:r>
      <w:r>
        <w:rPr>
          <w:rFonts w:eastAsia="Batang"/>
        </w:rPr>
        <w:t xml:space="preserve">cafes lack any intent to embrace their history, but rather seek to redefine themselves with the times. </w:t>
      </w:r>
      <w:r w:rsidR="000A7C23">
        <w:rPr>
          <w:rFonts w:eastAsia="Batang"/>
        </w:rPr>
        <w:t xml:space="preserve">Delvau, though, believes that cafés </w:t>
      </w:r>
      <w:r w:rsidR="004E5B09">
        <w:rPr>
          <w:rFonts w:eastAsia="Batang"/>
        </w:rPr>
        <w:t xml:space="preserve">and their walls </w:t>
      </w:r>
      <w:r w:rsidR="000A7C23">
        <w:rPr>
          <w:rFonts w:eastAsia="Batang"/>
        </w:rPr>
        <w:t xml:space="preserve">should reflect their past. By comparing the customers at tables to an abode of shadows, he condemns the stillness and longs for the revolutionary fervor once flooding the space. </w:t>
      </w:r>
      <w:r w:rsidR="004E5B09">
        <w:rPr>
          <w:rFonts w:eastAsia="Batang"/>
        </w:rPr>
        <w:t xml:space="preserve"> </w:t>
      </w:r>
      <w:r w:rsidR="0039610B">
        <w:rPr>
          <w:rFonts w:eastAsia="Batang"/>
        </w:rPr>
        <w:t>Meanwhile, while describing Café Desmares, he devotes a significant part towards recounting the “witty clientele” who blessed the space with lively discussion. In modern-day, though, he writes, “</w:t>
      </w:r>
      <w:r w:rsidR="004E5B09">
        <w:rPr>
          <w:rFonts w:eastAsia="Batang"/>
        </w:rPr>
        <w:t>c</w:t>
      </w:r>
      <w:r w:rsidR="0039610B" w:rsidRPr="00404AEE">
        <w:rPr>
          <w:rFonts w:eastAsia="Batang"/>
        </w:rPr>
        <w:t xml:space="preserve">es illustrations politiques ont disparu ; d’autres les ont remplacées, au Palais-Bourbon </w:t>
      </w:r>
      <w:r w:rsidR="0039610B" w:rsidRPr="00404AEE">
        <w:rPr>
          <w:rFonts w:eastAsia="Batang"/>
        </w:rPr>
        <w:lastRenderedPageBreak/>
        <w:t>et chez Desmares, et d’autres encore remplaceront celles-ci</w:t>
      </w:r>
      <w:r w:rsidR="0039610B">
        <w:rPr>
          <w:rFonts w:eastAsia="Batang"/>
        </w:rPr>
        <w:t>.”</w:t>
      </w:r>
      <w:r w:rsidR="00B34A0F">
        <w:rPr>
          <w:rStyle w:val="FootnoteReference"/>
          <w:rFonts w:eastAsia="Batang"/>
        </w:rPr>
        <w:footnoteReference w:id="42"/>
      </w:r>
      <w:r w:rsidR="0039610B">
        <w:rPr>
          <w:rFonts w:eastAsia="Batang"/>
        </w:rPr>
        <w:t xml:space="preserve"> </w:t>
      </w:r>
      <w:r w:rsidR="004E5B09">
        <w:rPr>
          <w:rFonts w:eastAsia="Batang"/>
        </w:rPr>
        <w:t xml:space="preserve">While some cafes provoke animated discussions, Delvau expresses disappointment in cafés that used to serve as intellectual hubs and no longer do. He also acknowledges that political illustrations and their clientele will continue to disappear at the café, further underscoring modernity’s effects </w:t>
      </w:r>
      <w:r w:rsidR="00B75EB3">
        <w:rPr>
          <w:rFonts w:eastAsia="Batang"/>
        </w:rPr>
        <w:t>that promote and hinder</w:t>
      </w:r>
      <w:r w:rsidR="004E5B09">
        <w:rPr>
          <w:rFonts w:eastAsia="Batang"/>
        </w:rPr>
        <w:t xml:space="preserve"> lively environments. </w:t>
      </w:r>
      <w:r w:rsidR="00E11B0E">
        <w:rPr>
          <w:rFonts w:eastAsia="Batang"/>
        </w:rPr>
        <w:t>Furthermore</w:t>
      </w:r>
      <w:r w:rsidR="004E5B09">
        <w:rPr>
          <w:rFonts w:eastAsia="Batang"/>
        </w:rPr>
        <w:t>, he</w:t>
      </w:r>
      <w:r w:rsidR="0039610B">
        <w:rPr>
          <w:rFonts w:eastAsia="Batang"/>
        </w:rPr>
        <w:t xml:space="preserve"> alludes to the decline in prestige at Café Tortoni when he writes, “</w:t>
      </w:r>
      <w:r w:rsidR="004E5B09">
        <w:rPr>
          <w:rFonts w:eastAsia="Batang"/>
        </w:rPr>
        <w:t>q</w:t>
      </w:r>
      <w:r w:rsidR="0039610B" w:rsidRPr="007F247F">
        <w:rPr>
          <w:rFonts w:eastAsia="Batang"/>
        </w:rPr>
        <w:t>uoique un peu déchu de son ancienne splendeur, quoique un peu oublié des Parisiens inconstants, le café Tortoni a mérité la vogue dont il a joui sous l’Empire et sous la Restauration, époque à laquelle il était le rendez-vous de toutes les célébrités et de toutes les élégances.</w:t>
      </w:r>
      <w:r w:rsidR="0039610B">
        <w:rPr>
          <w:rFonts w:eastAsia="Batang"/>
        </w:rPr>
        <w:t>”</w:t>
      </w:r>
      <w:r w:rsidR="00B34A0F">
        <w:rPr>
          <w:rStyle w:val="FootnoteReference"/>
          <w:rFonts w:eastAsia="Batang"/>
        </w:rPr>
        <w:footnoteReference w:id="43"/>
      </w:r>
      <w:r>
        <w:rPr>
          <w:rFonts w:eastAsia="Batang"/>
        </w:rPr>
        <w:t xml:space="preserve"> His mention of “fickle Parisians” directly argues that Parisians move on too quickly from the past, alluding to their rushed efforts to redefine France and think forward. In doing so, though, Parisians fail to recognize</w:t>
      </w:r>
      <w:r w:rsidR="004E5B09">
        <w:rPr>
          <w:rFonts w:eastAsia="Batang"/>
        </w:rPr>
        <w:t xml:space="preserve"> and preserve key</w:t>
      </w:r>
      <w:r>
        <w:rPr>
          <w:rFonts w:eastAsia="Batang"/>
        </w:rPr>
        <w:t xml:space="preserve"> aspects of history’s </w:t>
      </w:r>
      <w:r w:rsidR="004E5B09">
        <w:rPr>
          <w:rFonts w:eastAsia="Batang"/>
        </w:rPr>
        <w:t>culture</w:t>
      </w:r>
      <w:r>
        <w:rPr>
          <w:rFonts w:eastAsia="Batang"/>
        </w:rPr>
        <w:t>.</w:t>
      </w:r>
      <w:r w:rsidR="004E5B09">
        <w:rPr>
          <w:rFonts w:eastAsia="Batang"/>
        </w:rPr>
        <w:t xml:space="preserve"> </w:t>
      </w:r>
      <w:r w:rsidR="00E11B0E">
        <w:rPr>
          <w:rFonts w:eastAsia="Batang"/>
        </w:rPr>
        <w:t xml:space="preserve">They wrongfully perceive historical memory and </w:t>
      </w:r>
      <w:r w:rsidR="00B75EB3">
        <w:rPr>
          <w:rFonts w:eastAsia="Batang"/>
        </w:rPr>
        <w:t xml:space="preserve">modern </w:t>
      </w:r>
      <w:r w:rsidR="00E11B0E">
        <w:rPr>
          <w:rFonts w:eastAsia="Batang"/>
        </w:rPr>
        <w:t xml:space="preserve">progress as mutually exclusive. </w:t>
      </w:r>
      <w:r>
        <w:rPr>
          <w:rFonts w:eastAsia="Batang"/>
        </w:rPr>
        <w:t>Lastly, Delvau</w:t>
      </w:r>
      <w:r w:rsidR="0039610B">
        <w:rPr>
          <w:rFonts w:eastAsia="Batang"/>
        </w:rPr>
        <w:t xml:space="preserve"> includes anecdotes on cafes that no longer exist, such as Café Regence and </w:t>
      </w:r>
      <w:r>
        <w:rPr>
          <w:rFonts w:eastAsia="Batang"/>
        </w:rPr>
        <w:t xml:space="preserve">Café </w:t>
      </w:r>
      <w:r w:rsidR="0039610B">
        <w:rPr>
          <w:rFonts w:eastAsia="Batang"/>
        </w:rPr>
        <w:t>Momus</w:t>
      </w:r>
      <w:r>
        <w:rPr>
          <w:rFonts w:eastAsia="Batang"/>
        </w:rPr>
        <w:t>.</w:t>
      </w:r>
      <w:r w:rsidR="009C3457">
        <w:rPr>
          <w:rStyle w:val="FootnoteReference"/>
          <w:rFonts w:eastAsia="Batang"/>
        </w:rPr>
        <w:footnoteReference w:id="44"/>
      </w:r>
      <w:r>
        <w:rPr>
          <w:rFonts w:eastAsia="Batang"/>
        </w:rPr>
        <w:t xml:space="preserve"> He emphasizes their prominence</w:t>
      </w:r>
      <w:r w:rsidR="00E11B0E">
        <w:rPr>
          <w:rFonts w:eastAsia="Batang"/>
        </w:rPr>
        <w:t>, implying</w:t>
      </w:r>
      <w:r w:rsidR="000A7C23">
        <w:rPr>
          <w:rFonts w:eastAsia="Batang"/>
        </w:rPr>
        <w:t xml:space="preserve"> a cultural void left by their disappearance. This narrative encourages Paris to consider</w:t>
      </w:r>
      <w:r w:rsidR="00E11B0E">
        <w:rPr>
          <w:rFonts w:eastAsia="Batang"/>
        </w:rPr>
        <w:t xml:space="preserve"> the consequences of rapid modernization and ways to integrate history moving forward. </w:t>
      </w:r>
    </w:p>
    <w:p w14:paraId="427B2B5C" w14:textId="0C0329A1" w:rsidR="00201B9F" w:rsidRDefault="00563F70" w:rsidP="00107B2A">
      <w:pPr>
        <w:spacing w:line="480" w:lineRule="auto"/>
        <w:ind w:firstLine="720"/>
        <w:rPr>
          <w:rFonts w:eastAsia="Batang"/>
        </w:rPr>
      </w:pPr>
      <w:r>
        <w:rPr>
          <w:rFonts w:eastAsia="Batang"/>
        </w:rPr>
        <w:t xml:space="preserve">He strategically contrasts the </w:t>
      </w:r>
      <w:r w:rsidRPr="00D67ED4">
        <w:rPr>
          <w:rFonts w:eastAsia="Batang"/>
        </w:rPr>
        <w:t>café experience</w:t>
      </w:r>
      <w:r>
        <w:rPr>
          <w:rFonts w:eastAsia="Batang"/>
        </w:rPr>
        <w:t xml:space="preserve"> during</w:t>
      </w:r>
      <w:r w:rsidRPr="00D67ED4">
        <w:rPr>
          <w:rFonts w:eastAsia="Batang"/>
        </w:rPr>
        <w:t xml:space="preserve"> pre-Napoleon</w:t>
      </w:r>
      <w:r>
        <w:rPr>
          <w:rFonts w:eastAsia="Batang"/>
        </w:rPr>
        <w:t xml:space="preserve">ic Paris with </w:t>
      </w:r>
      <w:r w:rsidRPr="00D67ED4">
        <w:rPr>
          <w:rFonts w:eastAsia="Batang"/>
        </w:rPr>
        <w:t>detailed anecdotes about the decaying café customer</w:t>
      </w:r>
      <w:r w:rsidR="00941D2F">
        <w:rPr>
          <w:rFonts w:eastAsia="Batang"/>
        </w:rPr>
        <w:t xml:space="preserve"> and waiter</w:t>
      </w:r>
      <w:r>
        <w:rPr>
          <w:rFonts w:eastAsia="Batang"/>
        </w:rPr>
        <w:t xml:space="preserve"> in the Second Empire</w:t>
      </w:r>
      <w:r w:rsidRPr="00D67ED4">
        <w:rPr>
          <w:rFonts w:eastAsia="Batang"/>
        </w:rPr>
        <w:t xml:space="preserve"> to expose the alienating effects of modernization</w:t>
      </w:r>
      <w:r>
        <w:rPr>
          <w:rFonts w:eastAsia="Batang"/>
        </w:rPr>
        <w:t>. He compares Café Desmares with Café Foy, claiming they possess the “</w:t>
      </w:r>
      <w:r w:rsidRPr="00404AEE">
        <w:rPr>
          <w:rFonts w:eastAsia="Batang"/>
        </w:rPr>
        <w:t xml:space="preserve">Même silence, même aspect solennel, même absence de joueurs de ou de trictrac. </w:t>
      </w:r>
      <w:r w:rsidRPr="00404AEE">
        <w:rPr>
          <w:rFonts w:eastAsia="Batang"/>
        </w:rPr>
        <w:lastRenderedPageBreak/>
        <w:t>Sont-ce des ombres ou des personnes vivantes qui déjeunent là, qui lisent les journaux qui prennent leur café? Je serais tente de croire que ce sont des ombres.</w:t>
      </w:r>
      <w:r>
        <w:rPr>
          <w:rFonts w:eastAsia="Batang"/>
        </w:rPr>
        <w:t>”</w:t>
      </w:r>
      <w:r w:rsidR="009C3457">
        <w:rPr>
          <w:rStyle w:val="FootnoteReference"/>
          <w:rFonts w:eastAsia="Batang"/>
        </w:rPr>
        <w:footnoteReference w:id="45"/>
      </w:r>
      <w:r>
        <w:rPr>
          <w:rFonts w:eastAsia="Batang"/>
        </w:rPr>
        <w:t xml:space="preserve"> Portraying the customers as lifeless figures effectively </w:t>
      </w:r>
      <w:r w:rsidR="00E67872">
        <w:rPr>
          <w:rFonts w:eastAsia="Batang"/>
        </w:rPr>
        <w:t xml:space="preserve">highlights a new yet more gruesome side of modernity. He also references shadows again, alluding to the patron’s hollow and disconnected state of mind devoid of meaning. As a result, the café customer simply exists rather than lives. </w:t>
      </w:r>
      <w:r>
        <w:rPr>
          <w:rFonts w:eastAsia="Batang"/>
        </w:rPr>
        <w:t>Similarly, he writes that Café Cardinal operates as “</w:t>
      </w:r>
      <w:r w:rsidRPr="005A3210">
        <w:rPr>
          <w:rFonts w:eastAsia="Batang"/>
        </w:rPr>
        <w:t>un triste purgatoire. L’artiste arrivé de la veille y court, attiré par une force mystérieuse. Vous le voyez rôder là comme une âme en peine ; il gémit, il souffre, il attend</w:t>
      </w:r>
      <w:r>
        <w:rPr>
          <w:rFonts w:eastAsia="Batang"/>
        </w:rPr>
        <w:t>.”</w:t>
      </w:r>
      <w:r w:rsidR="009C3457">
        <w:rPr>
          <w:rStyle w:val="FootnoteReference"/>
          <w:rFonts w:eastAsia="Batang"/>
        </w:rPr>
        <w:footnoteReference w:id="46"/>
      </w:r>
      <w:r>
        <w:rPr>
          <w:rFonts w:eastAsia="Batang"/>
        </w:rPr>
        <w:t xml:space="preserve"> This imagery portrays a soul in pain, languishing and unable to meet the caliber of vitality that Delvau establishes while talking about dynamic cafes. </w:t>
      </w:r>
      <w:r w:rsidR="009B10F7">
        <w:rPr>
          <w:rFonts w:eastAsia="Batang"/>
        </w:rPr>
        <w:t xml:space="preserve">He attributes the paralyzed artist to an oppressive force in modern life that destroys creativity and engagement. However, Delvau depicts this force as “mysterious,” because, in some instances, the force seems to attract livelihood rather than extinguish it. </w:t>
      </w:r>
      <w:r>
        <w:rPr>
          <w:rFonts w:eastAsia="Batang"/>
        </w:rPr>
        <w:t>Meanwhile, he describes the waiters at Café Leblond</w:t>
      </w:r>
      <w:r w:rsidR="00201B9F">
        <w:rPr>
          <w:rFonts w:eastAsia="Batang"/>
        </w:rPr>
        <w:t xml:space="preserve">: </w:t>
      </w:r>
    </w:p>
    <w:p w14:paraId="47BBA19F" w14:textId="064BFB6D" w:rsidR="00B75EB3" w:rsidRDefault="00563F70" w:rsidP="00B75EB3">
      <w:pPr>
        <w:rPr>
          <w:rFonts w:eastAsia="Batang"/>
        </w:rPr>
      </w:pPr>
      <w:r>
        <w:rPr>
          <w:rFonts w:eastAsia="Batang"/>
        </w:rPr>
        <w:t>“</w:t>
      </w:r>
      <w:r w:rsidRPr="005A3210">
        <w:rPr>
          <w:rFonts w:eastAsia="Batang"/>
        </w:rPr>
        <w:t>Quant aux cravates blanches et aux vestes rondes qui font l’office de garçons, je dois avouer que je n’ai pas surpris chez elles la plus petite flammèche d’enthousiasme. Elles ont l’air fatigué des gens ennuyés et l’air ennuyé des gens fatigués. Cela manque d’attrait, en effet, une existence comme celle que mènent ces vestes rondes et ces cravates blanches, et qui consiste à verser toute la journée, toute la soirée et une partie de la nuit, des demi-tasses, des glorias, des verres d’eau, des canettes, des sodas, des petits verres, et à recevoir comme gratification quelques centimes ou quelques injures.</w:t>
      </w:r>
      <w:r>
        <w:rPr>
          <w:rFonts w:eastAsia="Batang"/>
        </w:rPr>
        <w:t>”</w:t>
      </w:r>
      <w:r w:rsidR="009C3457">
        <w:rPr>
          <w:rStyle w:val="FootnoteReference"/>
          <w:rFonts w:eastAsia="Batang"/>
        </w:rPr>
        <w:footnoteReference w:id="47"/>
      </w:r>
      <w:r>
        <w:rPr>
          <w:rFonts w:eastAsia="Batang"/>
        </w:rPr>
        <w:t xml:space="preserve"> </w:t>
      </w:r>
    </w:p>
    <w:p w14:paraId="129E45F1" w14:textId="77777777" w:rsidR="00B75EB3" w:rsidRDefault="00B75EB3" w:rsidP="00B75EB3">
      <w:pPr>
        <w:rPr>
          <w:rFonts w:eastAsia="Batang"/>
        </w:rPr>
      </w:pPr>
    </w:p>
    <w:p w14:paraId="50EC0C4F" w14:textId="597DBCAA" w:rsidR="008E0FA9" w:rsidRDefault="00941D2F" w:rsidP="00B75EB3">
      <w:pPr>
        <w:spacing w:line="480" w:lineRule="auto"/>
        <w:rPr>
          <w:rFonts w:eastAsia="Batang"/>
        </w:rPr>
      </w:pPr>
      <w:r>
        <w:rPr>
          <w:rFonts w:eastAsia="Batang"/>
        </w:rPr>
        <w:t xml:space="preserve">The </w:t>
      </w:r>
      <w:r w:rsidR="00563F70">
        <w:rPr>
          <w:rFonts w:eastAsia="Batang"/>
        </w:rPr>
        <w:t>stagnation</w:t>
      </w:r>
      <w:r>
        <w:rPr>
          <w:rFonts w:eastAsia="Batang"/>
        </w:rPr>
        <w:t xml:space="preserve"> seen in café customers</w:t>
      </w:r>
      <w:r w:rsidR="00563F70">
        <w:rPr>
          <w:rFonts w:eastAsia="Batang"/>
        </w:rPr>
        <w:t xml:space="preserve"> </w:t>
      </w:r>
      <w:r>
        <w:rPr>
          <w:rFonts w:eastAsia="Batang"/>
        </w:rPr>
        <w:t xml:space="preserve">extends to the workers, stuck in a cycle of boredom and exhaustion. Modern urban life operates at a pace incompatible with their </w:t>
      </w:r>
      <w:r w:rsidR="009B10F7">
        <w:rPr>
          <w:rFonts w:eastAsia="Batang"/>
        </w:rPr>
        <w:t>well-being</w:t>
      </w:r>
      <w:r>
        <w:rPr>
          <w:rFonts w:eastAsia="Batang"/>
        </w:rPr>
        <w:t>. Rather than invigorating their minds and bodies, modernity dehumanizes them.</w:t>
      </w:r>
      <w:r w:rsidR="00A36608">
        <w:rPr>
          <w:rFonts w:eastAsia="Batang"/>
        </w:rPr>
        <w:t xml:space="preserve"> </w:t>
      </w:r>
      <w:r w:rsidR="009B10F7">
        <w:rPr>
          <w:rFonts w:eastAsia="Batang"/>
        </w:rPr>
        <w:t>They perform repetitive and monotonous tasks all day long that degrade the café to a commercial machine. Furthermore, their</w:t>
      </w:r>
      <w:r>
        <w:rPr>
          <w:rFonts w:eastAsia="Batang"/>
        </w:rPr>
        <w:t xml:space="preserve"> gratification stems from a few cents or insults, </w:t>
      </w:r>
      <w:r w:rsidR="00CC5ADF">
        <w:rPr>
          <w:rFonts w:eastAsia="Batang"/>
        </w:rPr>
        <w:t>symbolizing</w:t>
      </w:r>
      <w:r w:rsidR="009B10F7">
        <w:rPr>
          <w:rFonts w:eastAsia="Batang"/>
        </w:rPr>
        <w:t xml:space="preserve"> the transactional </w:t>
      </w:r>
      <w:r w:rsidR="00A36608">
        <w:rPr>
          <w:rFonts w:eastAsia="Batang"/>
        </w:rPr>
        <w:t xml:space="preserve">and degrading </w:t>
      </w:r>
      <w:r w:rsidR="00A36608">
        <w:rPr>
          <w:rFonts w:eastAsia="Batang"/>
        </w:rPr>
        <w:lastRenderedPageBreak/>
        <w:t xml:space="preserve">effects of their labor that surpasses any </w:t>
      </w:r>
      <w:r w:rsidR="00102ACB">
        <w:rPr>
          <w:rFonts w:eastAsia="Batang"/>
        </w:rPr>
        <w:t>fulfillment</w:t>
      </w:r>
      <w:r w:rsidR="00A36608">
        <w:rPr>
          <w:rFonts w:eastAsia="Batang"/>
        </w:rPr>
        <w:t xml:space="preserve"> found in positive social engagement. Delvau highlights these effects to capture the cost of progress in a new Paris</w:t>
      </w:r>
      <w:r w:rsidR="00CC5ADF">
        <w:rPr>
          <w:rFonts w:eastAsia="Batang"/>
        </w:rPr>
        <w:t xml:space="preserve">. </w:t>
      </w:r>
    </w:p>
    <w:p w14:paraId="392C87B3" w14:textId="4E899C28" w:rsidR="00CC5ADF" w:rsidRDefault="00954131" w:rsidP="00CC5ADF">
      <w:pPr>
        <w:spacing w:line="480" w:lineRule="auto"/>
        <w:ind w:firstLine="720"/>
        <w:rPr>
          <w:rFonts w:eastAsia="Batang"/>
        </w:rPr>
      </w:pPr>
      <w:r>
        <w:rPr>
          <w:rFonts w:eastAsia="Batang"/>
        </w:rPr>
        <w:t xml:space="preserve">Again, though, not all cafes operate in the same manner; </w:t>
      </w:r>
      <w:r>
        <w:t xml:space="preserve">Delvau also highlights examples of the </w:t>
      </w:r>
      <w:r w:rsidR="00A72C15">
        <w:t>bustling</w:t>
      </w:r>
      <w:r>
        <w:t xml:space="preserve"> café atmosphere to </w:t>
      </w:r>
      <w:r w:rsidR="00CC5ADF">
        <w:t xml:space="preserve">further </w:t>
      </w:r>
      <w:r>
        <w:t xml:space="preserve">reveal the complexities of café life in a transforming Parisian landscape. </w:t>
      </w:r>
      <w:r w:rsidR="008E0FA9">
        <w:t xml:space="preserve">He contrasts Café Racine with the aristocratic café, writing </w:t>
      </w:r>
      <w:r w:rsidR="008E0FA9">
        <w:rPr>
          <w:rFonts w:eastAsia="Batang"/>
        </w:rPr>
        <w:t>“i</w:t>
      </w:r>
      <w:r w:rsidR="008E0FA9" w:rsidRPr="000A6528">
        <w:rPr>
          <w:rFonts w:eastAsia="Batang"/>
        </w:rPr>
        <w:t>l n’a ni les dorures insolentes des cafés du boulevard, ni leurs glaces de vingt pieds de haut, ni leurs aristocratiques garçons ; il remplace tout cela par une dame de comptoir vive et animée, par une bière pleine d’excellentes intentions et par un crédit digne des temps évanouis</w:t>
      </w:r>
      <w:r w:rsidR="008E0FA9">
        <w:rPr>
          <w:rFonts w:eastAsia="Batang"/>
        </w:rPr>
        <w:t>.”</w:t>
      </w:r>
      <w:r w:rsidR="009C3457">
        <w:rPr>
          <w:rStyle w:val="FootnoteReference"/>
          <w:rFonts w:eastAsia="Batang"/>
        </w:rPr>
        <w:footnoteReference w:id="48"/>
      </w:r>
      <w:r w:rsidR="008E0FA9">
        <w:rPr>
          <w:rFonts w:eastAsia="Batang"/>
        </w:rPr>
        <w:t xml:space="preserve"> </w:t>
      </w:r>
      <w:r w:rsidR="00B75EB3">
        <w:rPr>
          <w:rFonts w:eastAsia="Batang"/>
        </w:rPr>
        <w:t>Delvau</w:t>
      </w:r>
      <w:r w:rsidR="008E0FA9">
        <w:rPr>
          <w:rFonts w:eastAsia="Batang"/>
        </w:rPr>
        <w:t xml:space="preserve"> celebrates </w:t>
      </w:r>
      <w:r w:rsidR="00B75EB3">
        <w:rPr>
          <w:rFonts w:eastAsia="Batang"/>
        </w:rPr>
        <w:t>C</w:t>
      </w:r>
      <w:r w:rsidR="008E0FA9">
        <w:rPr>
          <w:rFonts w:eastAsia="Batang"/>
        </w:rPr>
        <w:t xml:space="preserve">afé </w:t>
      </w:r>
      <w:r w:rsidR="00B75EB3">
        <w:rPr>
          <w:rFonts w:eastAsia="Batang"/>
        </w:rPr>
        <w:t xml:space="preserve">Racine </w:t>
      </w:r>
      <w:r w:rsidR="008E0FA9">
        <w:rPr>
          <w:rFonts w:eastAsia="Batang"/>
        </w:rPr>
        <w:t xml:space="preserve">as an ordinary space for lively engagement. He values the counter lady’s animated personality and the beer full of good intentions, referring to </w:t>
      </w:r>
      <w:r w:rsidR="00B75EB3">
        <w:rPr>
          <w:rFonts w:eastAsia="Batang"/>
        </w:rPr>
        <w:t>the establishment’s</w:t>
      </w:r>
      <w:r w:rsidR="005E4C18">
        <w:rPr>
          <w:rFonts w:eastAsia="Batang"/>
        </w:rPr>
        <w:t xml:space="preserve"> positive role in creating a more welcoming environment as opposed to further alienating society. Delvau also praises the café for having a credit worthy of past times, implying that Café Racine parallels historic cafes and their vitality. </w:t>
      </w:r>
      <w:r w:rsidR="008E0FA9">
        <w:t xml:space="preserve">Meanwhile, he provides an in-depth description of Café Cardinal, </w:t>
      </w:r>
      <w:r w:rsidR="00B75EB3">
        <w:t>noting</w:t>
      </w:r>
      <w:r w:rsidR="005E4C18">
        <w:t xml:space="preserve"> that café patrons spent hours in these establishments on a daily basis. </w:t>
      </w:r>
      <w:r w:rsidR="00A72C15">
        <w:t xml:space="preserve">He writes, </w:t>
      </w:r>
      <w:r w:rsidR="005E4C18">
        <w:rPr>
          <w:rFonts w:eastAsia="Batang"/>
        </w:rPr>
        <w:t>“</w:t>
      </w:r>
      <w:r w:rsidR="00A72C15">
        <w:rPr>
          <w:rFonts w:eastAsia="Batang"/>
        </w:rPr>
        <w:t>q</w:t>
      </w:r>
      <w:r w:rsidR="00A72C15" w:rsidRPr="005A3210">
        <w:rPr>
          <w:rFonts w:eastAsia="Batang"/>
        </w:rPr>
        <w:t>ue fait-il, tout ce monde</w:t>
      </w:r>
      <w:r w:rsidR="00A72C15">
        <w:rPr>
          <w:rFonts w:eastAsia="Batang"/>
        </w:rPr>
        <w:t xml:space="preserve">? Il </w:t>
      </w:r>
      <w:r w:rsidR="008E0FA9" w:rsidRPr="005A3210">
        <w:rPr>
          <w:rFonts w:eastAsia="Batang"/>
        </w:rPr>
        <w:t>jouit de ses vacances, il prend ses aises, quelquefois ses invalides, il cause, il se plaint, il médit, souvent il est d’une bienveillance outrée, il prodigue les éloges comme un journaliste assermenté, il renchérit sur le lyrisme des enthousiastes à gages</w:t>
      </w:r>
      <w:r w:rsidR="005E4C18">
        <w:rPr>
          <w:rFonts w:eastAsia="Batang"/>
        </w:rPr>
        <w:t>.</w:t>
      </w:r>
      <w:r w:rsidR="008E0FA9">
        <w:rPr>
          <w:rFonts w:eastAsia="Batang"/>
        </w:rPr>
        <w:t>”</w:t>
      </w:r>
      <w:r w:rsidR="009C3457">
        <w:rPr>
          <w:rStyle w:val="FootnoteReference"/>
          <w:rFonts w:eastAsia="Batang"/>
        </w:rPr>
        <w:footnoteReference w:id="49"/>
      </w:r>
      <w:r w:rsidR="005E4C18">
        <w:rPr>
          <w:rFonts w:eastAsia="Batang"/>
        </w:rPr>
        <w:t xml:space="preserve"> The variety of activities </w:t>
      </w:r>
      <w:r w:rsidR="00A72C15">
        <w:rPr>
          <w:rFonts w:eastAsia="Batang"/>
        </w:rPr>
        <w:t xml:space="preserve">that occurred points to the café’s paradoxical roles; some people relaxed and chatted while others complained and performed. He </w:t>
      </w:r>
      <w:r w:rsidR="00B75EB3">
        <w:rPr>
          <w:rFonts w:eastAsia="Batang"/>
        </w:rPr>
        <w:t xml:space="preserve">also </w:t>
      </w:r>
      <w:r w:rsidR="00A72C15">
        <w:rPr>
          <w:rFonts w:eastAsia="Batang"/>
        </w:rPr>
        <w:t xml:space="preserve">notes that café patrons often spent hours there, </w:t>
      </w:r>
      <w:r w:rsidR="00B75EB3">
        <w:rPr>
          <w:rFonts w:eastAsia="Batang"/>
        </w:rPr>
        <w:t>referencing</w:t>
      </w:r>
      <w:r w:rsidR="00A72C15">
        <w:rPr>
          <w:rFonts w:eastAsia="Batang"/>
        </w:rPr>
        <w:t xml:space="preserve"> some patron’s fascination with the environment and others’ sense of emptiness, with nowhere else meaningful to go. This amalgamation, though, results in a chaotic environment that epitomizes the Parisian café scene. Delvau</w:t>
      </w:r>
      <w:r w:rsidR="008E0FA9">
        <w:rPr>
          <w:rFonts w:eastAsia="Batang"/>
        </w:rPr>
        <w:t xml:space="preserve"> also touches on café nightlife at Café des Variét</w:t>
      </w:r>
      <w:r w:rsidR="00A423A6">
        <w:rPr>
          <w:rFonts w:eastAsia="Batang"/>
        </w:rPr>
        <w:t>é</w:t>
      </w:r>
      <w:r w:rsidR="008E0FA9">
        <w:rPr>
          <w:rFonts w:eastAsia="Batang"/>
        </w:rPr>
        <w:t xml:space="preserve">s: </w:t>
      </w:r>
      <w:r w:rsidR="008E0FA9">
        <w:rPr>
          <w:rFonts w:eastAsia="Batang"/>
        </w:rPr>
        <w:lastRenderedPageBreak/>
        <w:t>“</w:t>
      </w:r>
      <w:r w:rsidR="008E0FA9" w:rsidRPr="002A6D73">
        <w:rPr>
          <w:rFonts w:eastAsia="Batang"/>
        </w:rPr>
        <w:t>Le café des Variétés a la permission d’une heure et demie, et cela permet aux noctambules à qui l’on a enlevé les restaurants des halles, de venir souper là, bien ou mal, vite ou lentement, selon l’heure à laquelle ils arrivent et le monde qu’il y a dans la salle</w:t>
      </w:r>
      <w:r w:rsidR="008E0FA9">
        <w:rPr>
          <w:rFonts w:eastAsia="Batang"/>
        </w:rPr>
        <w:t>.”</w:t>
      </w:r>
      <w:r w:rsidR="009C3457">
        <w:rPr>
          <w:rStyle w:val="FootnoteReference"/>
          <w:rFonts w:eastAsia="Batang"/>
        </w:rPr>
        <w:footnoteReference w:id="50"/>
      </w:r>
      <w:r w:rsidR="008E0FA9">
        <w:rPr>
          <w:rFonts w:eastAsia="Batang"/>
        </w:rPr>
        <w:t xml:space="preserve"> </w:t>
      </w:r>
      <w:r w:rsidR="005E4C18">
        <w:rPr>
          <w:rFonts w:eastAsia="Batang"/>
        </w:rPr>
        <w:t>By presenting the café as a lively environment at nighttime alongside daytime,</w:t>
      </w:r>
      <w:r w:rsidR="00342E30">
        <w:rPr>
          <w:rFonts w:eastAsia="Batang"/>
        </w:rPr>
        <w:t xml:space="preserve"> he further illustrates the café’s multipurpose and complex role as the urban city’s social hub. People with nowhere else to go flood the cafes and </w:t>
      </w:r>
      <w:r w:rsidR="00B75EB3">
        <w:rPr>
          <w:rFonts w:eastAsia="Batang"/>
        </w:rPr>
        <w:t>regard</w:t>
      </w:r>
      <w:r w:rsidR="00342E30">
        <w:rPr>
          <w:rFonts w:eastAsia="Batang"/>
        </w:rPr>
        <w:t xml:space="preserve"> them a</w:t>
      </w:r>
      <w:r w:rsidR="00B75EB3">
        <w:rPr>
          <w:rFonts w:eastAsia="Batang"/>
        </w:rPr>
        <w:t xml:space="preserve">s </w:t>
      </w:r>
      <w:r w:rsidR="00342E30">
        <w:rPr>
          <w:rFonts w:eastAsia="Batang"/>
        </w:rPr>
        <w:t>refuge</w:t>
      </w:r>
      <w:r w:rsidR="00B75EB3">
        <w:rPr>
          <w:rFonts w:eastAsia="Batang"/>
        </w:rPr>
        <w:t>s</w:t>
      </w:r>
      <w:r w:rsidR="00342E30">
        <w:rPr>
          <w:rFonts w:eastAsia="Batang"/>
        </w:rPr>
        <w:t xml:space="preserve"> for the evening. The café thus redefines itself as a readily available environment that welcomes anyone who may consciously or unconsciously crave the space.</w:t>
      </w:r>
      <w:r w:rsidR="00CC5ADF">
        <w:rPr>
          <w:rFonts w:eastAsia="Batang"/>
        </w:rPr>
        <w:t xml:space="preserve"> </w:t>
      </w:r>
    </w:p>
    <w:p w14:paraId="2269F275" w14:textId="6A2E202E" w:rsidR="00CC5ADF" w:rsidRDefault="00CC5ADF" w:rsidP="00CC5ADF">
      <w:pPr>
        <w:spacing w:line="480" w:lineRule="auto"/>
        <w:rPr>
          <w:rFonts w:eastAsia="Batang"/>
        </w:rPr>
      </w:pPr>
      <w:r>
        <w:rPr>
          <w:rFonts w:eastAsia="Batang"/>
        </w:rPr>
        <w:tab/>
        <w:t xml:space="preserve">Lastly, Delvau contrasts </w:t>
      </w:r>
      <w:r w:rsidR="00201B9F">
        <w:rPr>
          <w:rFonts w:eastAsia="Batang"/>
        </w:rPr>
        <w:t xml:space="preserve">the artificial luxury in Parisian cafes with the charming description of Eastern establishments to critique the superficiality permeating the modern urban scene. He writes, </w:t>
      </w:r>
    </w:p>
    <w:p w14:paraId="5F46C577" w14:textId="77777777" w:rsidR="00201B9F" w:rsidRPr="00886EC9" w:rsidRDefault="00201B9F" w:rsidP="00201B9F">
      <w:pPr>
        <w:rPr>
          <w:rFonts w:eastAsia="Batang"/>
        </w:rPr>
      </w:pPr>
      <w:r>
        <w:rPr>
          <w:rFonts w:eastAsia="Batang"/>
        </w:rPr>
        <w:t>“</w:t>
      </w:r>
      <w:r w:rsidRPr="00886EC9">
        <w:rPr>
          <w:rFonts w:eastAsia="Batang"/>
        </w:rPr>
        <w:t>Cela dit, avouez, cher ami, que quel que soit le luxe dont s’entourent les établissements du</w:t>
      </w:r>
    </w:p>
    <w:p w14:paraId="37251E69" w14:textId="423CFB98" w:rsidR="00201B9F" w:rsidRDefault="00201B9F" w:rsidP="00201B9F">
      <w:pPr>
        <w:rPr>
          <w:rFonts w:eastAsia="Batang"/>
        </w:rPr>
      </w:pPr>
      <w:r w:rsidRPr="00886EC9">
        <w:rPr>
          <w:rFonts w:eastAsia="Batang"/>
        </w:rPr>
        <w:t>boulevard, ou d’ailleurs, aucun d’eux ne vaut un seul des cafés de Syra, de Constantinople, d’Ispahan, de Surate, de Damas ou de Smyrne, où l’on vit en plein air, sous des platanes, au bord des rivières, où l’on fume son narghilé à l’abri des spectacles malsains et ridicules que nous offre incessamment Paris.</w:t>
      </w:r>
      <w:r>
        <w:rPr>
          <w:rFonts w:eastAsia="Batang"/>
        </w:rPr>
        <w:t>”</w:t>
      </w:r>
      <w:r>
        <w:rPr>
          <w:rStyle w:val="FootnoteReference"/>
          <w:rFonts w:eastAsia="Batang"/>
        </w:rPr>
        <w:footnoteReference w:id="51"/>
      </w:r>
    </w:p>
    <w:p w14:paraId="0A0BA42C" w14:textId="77777777" w:rsidR="00201B9F" w:rsidRDefault="00201B9F" w:rsidP="00201B9F">
      <w:pPr>
        <w:rPr>
          <w:rFonts w:eastAsia="Batang"/>
        </w:rPr>
      </w:pPr>
    </w:p>
    <w:p w14:paraId="2774F854" w14:textId="5BEBDE2C" w:rsidR="008059BC" w:rsidRDefault="002F4741" w:rsidP="00985E49">
      <w:pPr>
        <w:spacing w:line="480" w:lineRule="auto"/>
        <w:rPr>
          <w:rFonts w:eastAsia="Batang"/>
        </w:rPr>
      </w:pPr>
      <w:r>
        <w:rPr>
          <w:rFonts w:eastAsia="Batang"/>
        </w:rPr>
        <w:t>Delvau intentionally draws this contrast to highlight what Parisian modern life is missing: authenticity and meaning. He condemns the emphasis on luxury and wealth and outwardly deems this focus “unhealthy</w:t>
      </w:r>
      <w:r w:rsidR="008059BC">
        <w:rPr>
          <w:rFonts w:eastAsia="Batang"/>
        </w:rPr>
        <w:t>.</w:t>
      </w:r>
      <w:r w:rsidR="0038750E">
        <w:rPr>
          <w:rFonts w:eastAsia="Batang"/>
        </w:rPr>
        <w:t xml:space="preserve">” </w:t>
      </w:r>
      <w:r w:rsidR="008059BC">
        <w:rPr>
          <w:rFonts w:eastAsia="Batang"/>
        </w:rPr>
        <w:t>The current</w:t>
      </w:r>
      <w:r w:rsidR="0038750E">
        <w:rPr>
          <w:rFonts w:eastAsia="Batang"/>
        </w:rPr>
        <w:t xml:space="preserve"> lifestyle</w:t>
      </w:r>
      <w:r w:rsidR="008059BC">
        <w:rPr>
          <w:rFonts w:eastAsia="Batang"/>
        </w:rPr>
        <w:t xml:space="preserve"> that many Parisians experience</w:t>
      </w:r>
      <w:r w:rsidR="0038750E">
        <w:rPr>
          <w:rFonts w:eastAsia="Batang"/>
        </w:rPr>
        <w:t xml:space="preserve"> prevent</w:t>
      </w:r>
      <w:r w:rsidR="008059BC">
        <w:rPr>
          <w:rFonts w:eastAsia="Batang"/>
        </w:rPr>
        <w:t xml:space="preserve"> them</w:t>
      </w:r>
      <w:r w:rsidR="0038750E">
        <w:rPr>
          <w:rFonts w:eastAsia="Batang"/>
        </w:rPr>
        <w:t xml:space="preserve"> from forming genuine relationships with others and connecting to the real world. </w:t>
      </w:r>
      <w:r w:rsidR="008059BC">
        <w:rPr>
          <w:rFonts w:eastAsia="Batang"/>
        </w:rPr>
        <w:t xml:space="preserve">These consequences weaken an individual’s identity along with the country’s national identity. </w:t>
      </w:r>
      <w:r>
        <w:rPr>
          <w:rFonts w:eastAsia="Batang"/>
        </w:rPr>
        <w:t>Meanwhile, he introduces the Eastern establishments as a model for Paris.</w:t>
      </w:r>
      <w:r w:rsidR="0038750E">
        <w:rPr>
          <w:rStyle w:val="FootnoteReference"/>
          <w:rFonts w:eastAsia="Batang"/>
        </w:rPr>
        <w:footnoteReference w:id="52"/>
      </w:r>
      <w:r>
        <w:rPr>
          <w:rFonts w:eastAsia="Batang"/>
        </w:rPr>
        <w:t xml:space="preserve"> Living in open air </w:t>
      </w:r>
      <w:r>
        <w:rPr>
          <w:rFonts w:eastAsia="Batang"/>
        </w:rPr>
        <w:lastRenderedPageBreak/>
        <w:t xml:space="preserve">and under plane trees </w:t>
      </w:r>
      <w:r w:rsidR="0038750E">
        <w:rPr>
          <w:rFonts w:eastAsia="Batang"/>
        </w:rPr>
        <w:t xml:space="preserve">provides individuals with </w:t>
      </w:r>
      <w:r w:rsidR="0090375B">
        <w:rPr>
          <w:rFonts w:eastAsia="Batang"/>
        </w:rPr>
        <w:t>a sense of</w:t>
      </w:r>
      <w:r w:rsidR="0038750E">
        <w:rPr>
          <w:rFonts w:eastAsia="Batang"/>
        </w:rPr>
        <w:t xml:space="preserve"> serenity that </w:t>
      </w:r>
      <w:r w:rsidR="00102ACB">
        <w:rPr>
          <w:rFonts w:eastAsia="Batang"/>
        </w:rPr>
        <w:t>materialistic</w:t>
      </w:r>
      <w:r w:rsidR="0038750E">
        <w:rPr>
          <w:rFonts w:eastAsia="Batang"/>
        </w:rPr>
        <w:t xml:space="preserve"> goods and status cannot offer. </w:t>
      </w:r>
      <w:r w:rsidR="0090375B">
        <w:rPr>
          <w:rFonts w:eastAsia="Batang"/>
        </w:rPr>
        <w:t xml:space="preserve">Delvau wants Parisians to adopt </w:t>
      </w:r>
      <w:r w:rsidR="00B75EB3">
        <w:rPr>
          <w:rFonts w:eastAsia="Batang"/>
        </w:rPr>
        <w:t>the East’s</w:t>
      </w:r>
      <w:r w:rsidR="0090375B">
        <w:rPr>
          <w:rFonts w:eastAsia="Batang"/>
        </w:rPr>
        <w:t xml:space="preserve"> authenticity and ability to find beauty in the natural. His tranquil imagery also suggests that Parisians should slow down and devote more time towards creating a harmonized society. D</w:t>
      </w:r>
      <w:r>
        <w:rPr>
          <w:rFonts w:eastAsia="Batang"/>
        </w:rPr>
        <w:t xml:space="preserve">oing so can provide individuals with a more meaningful experience compared to </w:t>
      </w:r>
      <w:r w:rsidR="0090375B">
        <w:rPr>
          <w:rFonts w:eastAsia="Batang"/>
        </w:rPr>
        <w:t xml:space="preserve">modern-day habits. </w:t>
      </w:r>
      <w:r w:rsidR="008059BC">
        <w:rPr>
          <w:rFonts w:eastAsia="Batang"/>
        </w:rPr>
        <w:t>Delvau thus encourages Parisians to rearrange their priorities and lifestyles to foster environments in cafes that parallel the East.</w:t>
      </w:r>
    </w:p>
    <w:p w14:paraId="144FB8D0" w14:textId="3AFD7311" w:rsidR="00BD2053" w:rsidRDefault="00985E49" w:rsidP="00985E49">
      <w:pPr>
        <w:spacing w:line="480" w:lineRule="auto"/>
        <w:rPr>
          <w:rFonts w:eastAsia="Batang"/>
        </w:rPr>
      </w:pPr>
      <w:r>
        <w:rPr>
          <w:rFonts w:eastAsia="Batang"/>
        </w:rPr>
        <w:tab/>
      </w:r>
      <w:r w:rsidR="00AF366E">
        <w:rPr>
          <w:rFonts w:eastAsia="Batang"/>
        </w:rPr>
        <w:t xml:space="preserve">As opposed to the rigid social structures and consumer-driven culture alienating Paris, Delvau envisions the café as an establishment that can </w:t>
      </w:r>
      <w:r w:rsidR="00DB5ACD">
        <w:rPr>
          <w:rFonts w:eastAsia="Batang"/>
        </w:rPr>
        <w:t>propel the city forward</w:t>
      </w:r>
      <w:r w:rsidR="00AF366E">
        <w:rPr>
          <w:rFonts w:eastAsia="Batang"/>
        </w:rPr>
        <w:t>. His text praises certain cafes that promote cross-class interaction</w:t>
      </w:r>
      <w:r w:rsidR="00DB5ACD">
        <w:rPr>
          <w:rFonts w:eastAsia="Batang"/>
        </w:rPr>
        <w:t>, foster dialogue, and serve as dynamic environments and critiques</w:t>
      </w:r>
      <w:r w:rsidR="00AF366E">
        <w:rPr>
          <w:rFonts w:eastAsia="Batang"/>
        </w:rPr>
        <w:t xml:space="preserve"> those with </w:t>
      </w:r>
      <w:r w:rsidR="00DB5ACD">
        <w:rPr>
          <w:rFonts w:eastAsia="Batang"/>
        </w:rPr>
        <w:t>hegemonic</w:t>
      </w:r>
      <w:r w:rsidR="00AF366E">
        <w:rPr>
          <w:rFonts w:eastAsia="Batang"/>
        </w:rPr>
        <w:t xml:space="preserve"> crowds, </w:t>
      </w:r>
      <w:r w:rsidR="00DB5ACD">
        <w:rPr>
          <w:rFonts w:eastAsia="Batang"/>
        </w:rPr>
        <w:t>no historical legacy, and superficiality. He describes the decaying café customer and waiter to expose the consequences of rapid social change and urges Paris to use the Eastern blueprint movi</w:t>
      </w:r>
      <w:r w:rsidR="00BD2053">
        <w:rPr>
          <w:rFonts w:eastAsia="Batang"/>
        </w:rPr>
        <w:t>n</w:t>
      </w:r>
      <w:r w:rsidR="00DB5ACD">
        <w:rPr>
          <w:rFonts w:eastAsia="Batang"/>
        </w:rPr>
        <w:t>g forward</w:t>
      </w:r>
      <w:r w:rsidR="00BD2053">
        <w:rPr>
          <w:rFonts w:eastAsia="Batang"/>
        </w:rPr>
        <w:t>. This model can help Paris implement Delvau’s vision for their cultural identity that will, consequently, strengthen the country. While Delvau wrote his text during a critical time for Paris, his</w:t>
      </w:r>
      <w:r w:rsidR="00DB5ACD">
        <w:rPr>
          <w:rFonts w:eastAsia="Batang"/>
        </w:rPr>
        <w:t xml:space="preserve"> reflections on the Parisian café continue to resonate into the twenty-first century as societies consider </w:t>
      </w:r>
      <w:r w:rsidR="00BD2053">
        <w:rPr>
          <w:rFonts w:eastAsia="Batang"/>
        </w:rPr>
        <w:t xml:space="preserve">well-used </w:t>
      </w:r>
      <w:r w:rsidR="00DB5ACD">
        <w:rPr>
          <w:rFonts w:eastAsia="Batang"/>
        </w:rPr>
        <w:t xml:space="preserve">public spaces and their </w:t>
      </w:r>
      <w:r w:rsidR="00BD2053">
        <w:rPr>
          <w:rFonts w:eastAsia="Batang"/>
        </w:rPr>
        <w:t xml:space="preserve">role in creating or hindering harmonic, authentic, and connected environments during times of rapid change. </w:t>
      </w:r>
    </w:p>
    <w:p w14:paraId="1ECDBB9F" w14:textId="77777777" w:rsidR="001D76D2" w:rsidRDefault="001D76D2" w:rsidP="00985E49">
      <w:pPr>
        <w:spacing w:line="480" w:lineRule="auto"/>
        <w:rPr>
          <w:rFonts w:eastAsia="Batang"/>
        </w:rPr>
      </w:pPr>
    </w:p>
    <w:p w14:paraId="7EE426D3" w14:textId="77777777" w:rsidR="001D76D2" w:rsidRDefault="001D76D2" w:rsidP="00985E49">
      <w:pPr>
        <w:spacing w:line="480" w:lineRule="auto"/>
        <w:rPr>
          <w:rFonts w:eastAsia="Batang"/>
        </w:rPr>
      </w:pPr>
    </w:p>
    <w:p w14:paraId="02C2396F" w14:textId="77777777" w:rsidR="001D76D2" w:rsidRDefault="001D76D2" w:rsidP="00985E49">
      <w:pPr>
        <w:spacing w:line="480" w:lineRule="auto"/>
        <w:rPr>
          <w:rFonts w:eastAsia="Batang"/>
        </w:rPr>
      </w:pPr>
    </w:p>
    <w:p w14:paraId="644494CF" w14:textId="77777777" w:rsidR="001D76D2" w:rsidRDefault="001D76D2" w:rsidP="00985E49">
      <w:pPr>
        <w:spacing w:line="480" w:lineRule="auto"/>
        <w:rPr>
          <w:rFonts w:eastAsia="Batang"/>
        </w:rPr>
      </w:pPr>
    </w:p>
    <w:p w14:paraId="48B81451" w14:textId="77777777" w:rsidR="001D76D2" w:rsidRDefault="001D76D2" w:rsidP="00985E49">
      <w:pPr>
        <w:spacing w:line="480" w:lineRule="auto"/>
        <w:rPr>
          <w:rFonts w:eastAsia="Batang"/>
        </w:rPr>
      </w:pPr>
    </w:p>
    <w:p w14:paraId="12E52C50" w14:textId="77777777" w:rsidR="001D76D2" w:rsidRDefault="001D76D2" w:rsidP="00985E49">
      <w:pPr>
        <w:spacing w:line="480" w:lineRule="auto"/>
        <w:rPr>
          <w:rFonts w:eastAsia="Batang"/>
        </w:rPr>
      </w:pPr>
    </w:p>
    <w:p w14:paraId="27374F33" w14:textId="5EB22F60" w:rsidR="00BD2053" w:rsidRPr="001D76D2" w:rsidRDefault="00BD2053" w:rsidP="00BD2053">
      <w:pPr>
        <w:spacing w:line="480" w:lineRule="auto"/>
        <w:jc w:val="center"/>
        <w:rPr>
          <w:rFonts w:eastAsia="Batang"/>
          <w:b/>
          <w:bCs/>
        </w:rPr>
      </w:pPr>
      <w:r w:rsidRPr="001D76D2">
        <w:rPr>
          <w:rFonts w:eastAsia="Batang"/>
          <w:b/>
          <w:bCs/>
        </w:rPr>
        <w:lastRenderedPageBreak/>
        <w:t>Bibliography</w:t>
      </w:r>
    </w:p>
    <w:p w14:paraId="4AF49D18" w14:textId="77777777" w:rsidR="00BD2053" w:rsidRPr="00BD2053" w:rsidRDefault="00BD2053" w:rsidP="00BD2053">
      <w:pPr>
        <w:spacing w:line="480" w:lineRule="auto"/>
        <w:ind w:left="720" w:hanging="720"/>
        <w:rPr>
          <w:rFonts w:eastAsia="Batang"/>
        </w:rPr>
      </w:pPr>
      <w:r w:rsidRPr="00BD2053">
        <w:rPr>
          <w:rFonts w:eastAsia="Batang"/>
        </w:rPr>
        <w:t xml:space="preserve">Beaudoin, Steven. “The World of the Paris Café: Sociability among the French Working Class, 1789-1914, by W. Scott Haine.” </w:t>
      </w:r>
      <w:r w:rsidRPr="00BD2053">
        <w:rPr>
          <w:rFonts w:eastAsia="Batang"/>
          <w:i/>
          <w:iCs/>
        </w:rPr>
        <w:t>Journal of Social History</w:t>
      </w:r>
      <w:r w:rsidRPr="00BD2053">
        <w:rPr>
          <w:rFonts w:eastAsia="Batang"/>
        </w:rPr>
        <w:t xml:space="preserve"> 31, no. 1 (1997): 200–202.</w:t>
      </w:r>
    </w:p>
    <w:p w14:paraId="253B8A19" w14:textId="77777777" w:rsidR="00BD2053" w:rsidRPr="00BD2053" w:rsidRDefault="00BD2053" w:rsidP="00BD2053">
      <w:pPr>
        <w:spacing w:line="480" w:lineRule="auto"/>
        <w:ind w:left="720" w:hanging="720"/>
        <w:rPr>
          <w:rFonts w:eastAsia="Batang"/>
        </w:rPr>
      </w:pPr>
      <w:r w:rsidRPr="00BD2053">
        <w:rPr>
          <w:rFonts w:eastAsia="Batang"/>
        </w:rPr>
        <w:t xml:space="preserve">Bowles, Brett. “Alfred Delvau’s Dictionaries: Vehicles of Lexical and Sociocultural Change in Second-Empire Paris.” </w:t>
      </w:r>
      <w:r w:rsidRPr="00BD2053">
        <w:rPr>
          <w:rFonts w:eastAsia="Batang"/>
          <w:i/>
          <w:iCs/>
        </w:rPr>
        <w:t>The French Review</w:t>
      </w:r>
      <w:r w:rsidRPr="00BD2053">
        <w:rPr>
          <w:rFonts w:eastAsia="Batang"/>
        </w:rPr>
        <w:t xml:space="preserve"> 71, no. 2 (1997): 213–24.</w:t>
      </w:r>
    </w:p>
    <w:p w14:paraId="782D9587" w14:textId="77777777" w:rsidR="00BD2053" w:rsidRPr="00BD2053" w:rsidRDefault="00BD2053" w:rsidP="00BD2053">
      <w:pPr>
        <w:spacing w:line="480" w:lineRule="auto"/>
        <w:ind w:left="720" w:hanging="720"/>
        <w:rPr>
          <w:rFonts w:eastAsia="Batang"/>
        </w:rPr>
      </w:pPr>
      <w:r w:rsidRPr="00BD2053">
        <w:rPr>
          <w:rFonts w:eastAsia="Batang"/>
        </w:rPr>
        <w:t xml:space="preserve">Chartier, Roger. “Do Books Make Revolutions?” In </w:t>
      </w:r>
      <w:r w:rsidRPr="00BD2053">
        <w:rPr>
          <w:rFonts w:eastAsia="Batang"/>
          <w:i/>
          <w:iCs/>
        </w:rPr>
        <w:t>The Cultural Origins of the French Revolution</w:t>
      </w:r>
      <w:r w:rsidRPr="00BD2053">
        <w:rPr>
          <w:rFonts w:eastAsia="Batang"/>
        </w:rPr>
        <w:t>, 67–91. Durham, NC, 1991.</w:t>
      </w:r>
    </w:p>
    <w:p w14:paraId="07CE61F2" w14:textId="77777777" w:rsidR="00BD2053" w:rsidRPr="00BD2053" w:rsidRDefault="00BD2053" w:rsidP="00BD2053">
      <w:pPr>
        <w:spacing w:line="480" w:lineRule="auto"/>
        <w:ind w:left="720" w:hanging="720"/>
        <w:rPr>
          <w:rFonts w:eastAsia="Batang"/>
        </w:rPr>
      </w:pPr>
      <w:r w:rsidRPr="00BD2053">
        <w:rPr>
          <w:rFonts w:eastAsia="Batang"/>
        </w:rPr>
        <w:t xml:space="preserve">Delvau, Alfred. “En Sortant.” In </w:t>
      </w:r>
      <w:r w:rsidRPr="00BD2053">
        <w:rPr>
          <w:rFonts w:eastAsia="Batang"/>
          <w:i/>
          <w:iCs/>
        </w:rPr>
        <w:t>Histoire Anecdotique Des Cafés et Cabarets de Paris</w:t>
      </w:r>
      <w:r w:rsidRPr="00BD2053">
        <w:rPr>
          <w:rFonts w:eastAsia="Batang"/>
        </w:rPr>
        <w:t>. Paris: E. Dentu, 1862.</w:t>
      </w:r>
    </w:p>
    <w:p w14:paraId="139024CF" w14:textId="77777777" w:rsidR="00BD2053" w:rsidRPr="00BD2053" w:rsidRDefault="00BD2053" w:rsidP="00BD2053">
      <w:pPr>
        <w:spacing w:line="480" w:lineRule="auto"/>
        <w:ind w:left="720" w:hanging="720"/>
        <w:rPr>
          <w:rFonts w:eastAsia="Batang"/>
        </w:rPr>
      </w:pPr>
      <w:r w:rsidRPr="00BD2053">
        <w:rPr>
          <w:rFonts w:eastAsia="Batang"/>
        </w:rPr>
        <w:t xml:space="preserve">———. </w:t>
      </w:r>
      <w:r w:rsidRPr="00BD2053">
        <w:rPr>
          <w:rFonts w:eastAsia="Batang"/>
          <w:i/>
          <w:iCs/>
        </w:rPr>
        <w:t>Histoire Anecdotique Des Cafés et Cabarets de Paris</w:t>
      </w:r>
      <w:r w:rsidRPr="00BD2053">
        <w:rPr>
          <w:rFonts w:eastAsia="Batang"/>
        </w:rPr>
        <w:t xml:space="preserve">. Paris: E. Dentu, 1862. </w:t>
      </w:r>
      <w:hyperlink r:id="rId8" w:history="1">
        <w:r w:rsidRPr="00BD2053">
          <w:rPr>
            <w:rStyle w:val="Hyperlink"/>
            <w:rFonts w:eastAsia="Batang"/>
          </w:rPr>
          <w:t>https://gallica.bnf.fr/ark:/12148/bpt6k1025028b#</w:t>
        </w:r>
      </w:hyperlink>
      <w:r w:rsidRPr="00BD2053">
        <w:rPr>
          <w:rFonts w:eastAsia="Batang"/>
        </w:rPr>
        <w:t>.</w:t>
      </w:r>
    </w:p>
    <w:p w14:paraId="1BE0CCE7" w14:textId="77777777" w:rsidR="00BD2053" w:rsidRPr="00BD2053" w:rsidRDefault="00BD2053" w:rsidP="00BD2053">
      <w:pPr>
        <w:spacing w:line="480" w:lineRule="auto"/>
        <w:ind w:left="720" w:hanging="720"/>
        <w:rPr>
          <w:rFonts w:eastAsia="Batang"/>
        </w:rPr>
      </w:pPr>
      <w:r w:rsidRPr="00BD2053">
        <w:rPr>
          <w:rFonts w:eastAsia="Batang"/>
        </w:rPr>
        <w:t xml:space="preserve">———. “Le Café Cardinal.” In </w:t>
      </w:r>
      <w:r w:rsidRPr="00BD2053">
        <w:rPr>
          <w:rFonts w:eastAsia="Batang"/>
          <w:i/>
          <w:iCs/>
        </w:rPr>
        <w:t>Histoire Anecdotique Des Cafés et Cabarets de Paris</w:t>
      </w:r>
      <w:r w:rsidRPr="00BD2053">
        <w:rPr>
          <w:rFonts w:eastAsia="Batang"/>
        </w:rPr>
        <w:t>. Paris: E. Dentu, 1862.</w:t>
      </w:r>
    </w:p>
    <w:p w14:paraId="1A217A22" w14:textId="77777777" w:rsidR="00BD2053" w:rsidRPr="00BD2053" w:rsidRDefault="00BD2053" w:rsidP="00BD2053">
      <w:pPr>
        <w:spacing w:line="480" w:lineRule="auto"/>
        <w:ind w:left="720" w:hanging="720"/>
        <w:rPr>
          <w:rFonts w:eastAsia="Batang"/>
        </w:rPr>
      </w:pPr>
      <w:r w:rsidRPr="00BD2053">
        <w:rPr>
          <w:rFonts w:eastAsia="Batang"/>
        </w:rPr>
        <w:t xml:space="preserve">———. “Le Café de La Porte-Saint-Martin.” In </w:t>
      </w:r>
      <w:r w:rsidRPr="00BD2053">
        <w:rPr>
          <w:rFonts w:eastAsia="Batang"/>
          <w:i/>
          <w:iCs/>
        </w:rPr>
        <w:t>Histoire Anecdotique Des Cafés et Cabarets de Paris</w:t>
      </w:r>
      <w:r w:rsidRPr="00BD2053">
        <w:rPr>
          <w:rFonts w:eastAsia="Batang"/>
        </w:rPr>
        <w:t>. Paris: E. Dentu, 1862.</w:t>
      </w:r>
    </w:p>
    <w:p w14:paraId="11573762" w14:textId="77777777" w:rsidR="00BD2053" w:rsidRPr="00BD2053" w:rsidRDefault="00BD2053" w:rsidP="00BD2053">
      <w:pPr>
        <w:spacing w:line="480" w:lineRule="auto"/>
        <w:ind w:left="720" w:hanging="720"/>
        <w:rPr>
          <w:rFonts w:eastAsia="Batang"/>
        </w:rPr>
      </w:pPr>
      <w:r w:rsidRPr="00BD2053">
        <w:rPr>
          <w:rFonts w:eastAsia="Batang"/>
        </w:rPr>
        <w:t xml:space="preserve">———. “Le Café Des Variétés.” In </w:t>
      </w:r>
      <w:r w:rsidRPr="00BD2053">
        <w:rPr>
          <w:rFonts w:eastAsia="Batang"/>
          <w:i/>
          <w:iCs/>
        </w:rPr>
        <w:t>Histoire Anecdotique Des Cafés et Cabarets de Paris</w:t>
      </w:r>
      <w:r w:rsidRPr="00BD2053">
        <w:rPr>
          <w:rFonts w:eastAsia="Batang"/>
        </w:rPr>
        <w:t>. Paris: E. Dentu, 1862.</w:t>
      </w:r>
    </w:p>
    <w:p w14:paraId="59F45396" w14:textId="77777777" w:rsidR="00BD2053" w:rsidRPr="00BD2053" w:rsidRDefault="00BD2053" w:rsidP="00BD2053">
      <w:pPr>
        <w:spacing w:line="480" w:lineRule="auto"/>
        <w:ind w:left="720" w:hanging="720"/>
        <w:rPr>
          <w:rFonts w:eastAsia="Batang"/>
        </w:rPr>
      </w:pPr>
      <w:r w:rsidRPr="00BD2053">
        <w:rPr>
          <w:rFonts w:eastAsia="Batang"/>
        </w:rPr>
        <w:t xml:space="preserve">———. “Le Café Desmares.” In </w:t>
      </w:r>
      <w:r w:rsidRPr="00BD2053">
        <w:rPr>
          <w:rFonts w:eastAsia="Batang"/>
          <w:i/>
          <w:iCs/>
        </w:rPr>
        <w:t>Histoire Anecdotique Des Cafés et Cabarets de Paris</w:t>
      </w:r>
      <w:r w:rsidRPr="00BD2053">
        <w:rPr>
          <w:rFonts w:eastAsia="Batang"/>
        </w:rPr>
        <w:t>. Paris: E. Dentu, 1862.</w:t>
      </w:r>
    </w:p>
    <w:p w14:paraId="0D37890C" w14:textId="77777777" w:rsidR="00BD2053" w:rsidRPr="00BD2053" w:rsidRDefault="00BD2053" w:rsidP="00BD2053">
      <w:pPr>
        <w:spacing w:line="480" w:lineRule="auto"/>
        <w:ind w:left="720" w:hanging="720"/>
        <w:rPr>
          <w:rFonts w:eastAsia="Batang"/>
        </w:rPr>
      </w:pPr>
      <w:r w:rsidRPr="00BD2053">
        <w:rPr>
          <w:rFonts w:eastAsia="Batang"/>
        </w:rPr>
        <w:t xml:space="preserve">———. “Le Café Foy.” In </w:t>
      </w:r>
      <w:r w:rsidRPr="00BD2053">
        <w:rPr>
          <w:rFonts w:eastAsia="Batang"/>
          <w:i/>
          <w:iCs/>
        </w:rPr>
        <w:t>Histoire Anecdotique Des Cafés et Cabarets de Paris</w:t>
      </w:r>
      <w:r w:rsidRPr="00BD2053">
        <w:rPr>
          <w:rFonts w:eastAsia="Batang"/>
        </w:rPr>
        <w:t>. Paris: E. Dentu, 1862.</w:t>
      </w:r>
    </w:p>
    <w:p w14:paraId="269145E3" w14:textId="77777777" w:rsidR="00BD2053" w:rsidRPr="00BD2053" w:rsidRDefault="00BD2053" w:rsidP="00BD2053">
      <w:pPr>
        <w:spacing w:line="480" w:lineRule="auto"/>
        <w:ind w:left="720" w:hanging="720"/>
        <w:rPr>
          <w:rFonts w:eastAsia="Batang"/>
        </w:rPr>
      </w:pPr>
      <w:r w:rsidRPr="00BD2053">
        <w:rPr>
          <w:rFonts w:eastAsia="Batang"/>
        </w:rPr>
        <w:t xml:space="preserve">———. “Le Café Leblond.” In </w:t>
      </w:r>
      <w:r w:rsidRPr="00BD2053">
        <w:rPr>
          <w:rFonts w:eastAsia="Batang"/>
          <w:i/>
          <w:iCs/>
        </w:rPr>
        <w:t>Histoire Anecdotique Des Cafés et Cabarets de Paris</w:t>
      </w:r>
      <w:r w:rsidRPr="00BD2053">
        <w:rPr>
          <w:rFonts w:eastAsia="Batang"/>
        </w:rPr>
        <w:t>. Paris: E. Dentu, 1862.</w:t>
      </w:r>
    </w:p>
    <w:p w14:paraId="2E32D59B" w14:textId="77777777" w:rsidR="00BD2053" w:rsidRPr="00BD2053" w:rsidRDefault="00BD2053" w:rsidP="00BD2053">
      <w:pPr>
        <w:spacing w:line="480" w:lineRule="auto"/>
        <w:ind w:left="720" w:hanging="720"/>
        <w:rPr>
          <w:rFonts w:eastAsia="Batang"/>
        </w:rPr>
      </w:pPr>
      <w:r w:rsidRPr="00BD2053">
        <w:rPr>
          <w:rFonts w:eastAsia="Batang"/>
        </w:rPr>
        <w:lastRenderedPageBreak/>
        <w:t xml:space="preserve">———. “Le Café Minerve.” In </w:t>
      </w:r>
      <w:r w:rsidRPr="00BD2053">
        <w:rPr>
          <w:rFonts w:eastAsia="Batang"/>
          <w:i/>
          <w:iCs/>
        </w:rPr>
        <w:t>Histoire Anecdotique Des Cafés et Cabarets de Paris</w:t>
      </w:r>
      <w:r w:rsidRPr="00BD2053">
        <w:rPr>
          <w:rFonts w:eastAsia="Batang"/>
        </w:rPr>
        <w:t>. Paris: E. Dentu, 1862.</w:t>
      </w:r>
    </w:p>
    <w:p w14:paraId="6F39615D" w14:textId="77777777" w:rsidR="00BD2053" w:rsidRPr="00BD2053" w:rsidRDefault="00BD2053" w:rsidP="00BD2053">
      <w:pPr>
        <w:spacing w:line="480" w:lineRule="auto"/>
        <w:ind w:left="720" w:hanging="720"/>
        <w:rPr>
          <w:rFonts w:eastAsia="Batang"/>
        </w:rPr>
      </w:pPr>
      <w:r w:rsidRPr="00BD2053">
        <w:rPr>
          <w:rFonts w:eastAsia="Batang"/>
        </w:rPr>
        <w:t xml:space="preserve">———. “Le Café Momus.” In </w:t>
      </w:r>
      <w:r w:rsidRPr="00BD2053">
        <w:rPr>
          <w:rFonts w:eastAsia="Batang"/>
          <w:i/>
          <w:iCs/>
        </w:rPr>
        <w:t>Histoire Anecdotique Des Cafés et Cabarets de Paris</w:t>
      </w:r>
      <w:r w:rsidRPr="00BD2053">
        <w:rPr>
          <w:rFonts w:eastAsia="Batang"/>
        </w:rPr>
        <w:t>. Paris: E. Dentu, 1862.</w:t>
      </w:r>
    </w:p>
    <w:p w14:paraId="0759269F" w14:textId="77777777" w:rsidR="00BD2053" w:rsidRPr="00BD2053" w:rsidRDefault="00BD2053" w:rsidP="00BD2053">
      <w:pPr>
        <w:spacing w:line="480" w:lineRule="auto"/>
        <w:ind w:left="720" w:hanging="720"/>
        <w:rPr>
          <w:rFonts w:eastAsia="Batang"/>
        </w:rPr>
      </w:pPr>
      <w:r w:rsidRPr="00BD2053">
        <w:rPr>
          <w:rFonts w:eastAsia="Batang"/>
        </w:rPr>
        <w:t xml:space="preserve">———. “Le Café Procope.” In </w:t>
      </w:r>
      <w:r w:rsidRPr="00BD2053">
        <w:rPr>
          <w:rFonts w:eastAsia="Batang"/>
          <w:i/>
          <w:iCs/>
        </w:rPr>
        <w:t>Histoire Anecdotique Des Cafés et Cabarets de Paris</w:t>
      </w:r>
      <w:r w:rsidRPr="00BD2053">
        <w:rPr>
          <w:rFonts w:eastAsia="Batang"/>
        </w:rPr>
        <w:t>. Paris: E. Dentu, 1862.</w:t>
      </w:r>
    </w:p>
    <w:p w14:paraId="022B6294" w14:textId="77777777" w:rsidR="00BD2053" w:rsidRPr="00BD2053" w:rsidRDefault="00BD2053" w:rsidP="00BD2053">
      <w:pPr>
        <w:spacing w:line="480" w:lineRule="auto"/>
        <w:ind w:left="720" w:hanging="720"/>
        <w:rPr>
          <w:rFonts w:eastAsia="Batang"/>
        </w:rPr>
      </w:pPr>
      <w:r w:rsidRPr="00BD2053">
        <w:rPr>
          <w:rFonts w:eastAsia="Batang"/>
        </w:rPr>
        <w:t xml:space="preserve">———. “Le Café Racine.” In </w:t>
      </w:r>
      <w:r w:rsidRPr="00BD2053">
        <w:rPr>
          <w:rFonts w:eastAsia="Batang"/>
          <w:i/>
          <w:iCs/>
        </w:rPr>
        <w:t>Histoire Anecdotique Des Cafés et Cabarets de Paris</w:t>
      </w:r>
      <w:r w:rsidRPr="00BD2053">
        <w:rPr>
          <w:rFonts w:eastAsia="Batang"/>
        </w:rPr>
        <w:t>. Paris: E. Dentu, 1862.</w:t>
      </w:r>
    </w:p>
    <w:p w14:paraId="55717FD0" w14:textId="77777777" w:rsidR="00BD2053" w:rsidRPr="00BD2053" w:rsidRDefault="00BD2053" w:rsidP="00BD2053">
      <w:pPr>
        <w:spacing w:line="480" w:lineRule="auto"/>
        <w:ind w:left="720" w:hanging="720"/>
        <w:rPr>
          <w:rFonts w:eastAsia="Batang"/>
        </w:rPr>
      </w:pPr>
      <w:r w:rsidRPr="00BD2053">
        <w:rPr>
          <w:rFonts w:eastAsia="Batang"/>
        </w:rPr>
        <w:t xml:space="preserve">———. “Le Café Regence.” In </w:t>
      </w:r>
      <w:r w:rsidRPr="00BD2053">
        <w:rPr>
          <w:rFonts w:eastAsia="Batang"/>
          <w:i/>
          <w:iCs/>
        </w:rPr>
        <w:t>Histoire Anecdotique Des Cafés et Cabarets de Paris</w:t>
      </w:r>
      <w:r w:rsidRPr="00BD2053">
        <w:rPr>
          <w:rFonts w:eastAsia="Batang"/>
        </w:rPr>
        <w:t>. Paris: E. Dentu, 1862.</w:t>
      </w:r>
    </w:p>
    <w:p w14:paraId="7E41234E" w14:textId="77777777" w:rsidR="00BD2053" w:rsidRPr="00BD2053" w:rsidRDefault="00BD2053" w:rsidP="00BD2053">
      <w:pPr>
        <w:spacing w:line="480" w:lineRule="auto"/>
        <w:ind w:left="720" w:hanging="720"/>
        <w:rPr>
          <w:rFonts w:eastAsia="Batang"/>
        </w:rPr>
      </w:pPr>
      <w:r w:rsidRPr="00BD2053">
        <w:rPr>
          <w:rFonts w:eastAsia="Batang"/>
        </w:rPr>
        <w:t xml:space="preserve">———. “Le Café Riche.” In </w:t>
      </w:r>
      <w:r w:rsidRPr="00BD2053">
        <w:rPr>
          <w:rFonts w:eastAsia="Batang"/>
          <w:i/>
          <w:iCs/>
        </w:rPr>
        <w:t>Histoire Anecdotique Des Cafés et Cabarets de Paris</w:t>
      </w:r>
      <w:r w:rsidRPr="00BD2053">
        <w:rPr>
          <w:rFonts w:eastAsia="Batang"/>
        </w:rPr>
        <w:t>. Paris: E. Dentu, 1862.</w:t>
      </w:r>
    </w:p>
    <w:p w14:paraId="23F468E4" w14:textId="77777777" w:rsidR="00BD2053" w:rsidRPr="00BD2053" w:rsidRDefault="00BD2053" w:rsidP="00BD2053">
      <w:pPr>
        <w:spacing w:line="480" w:lineRule="auto"/>
        <w:ind w:left="720" w:hanging="720"/>
        <w:rPr>
          <w:rFonts w:eastAsia="Batang"/>
        </w:rPr>
      </w:pPr>
      <w:r w:rsidRPr="00BD2053">
        <w:rPr>
          <w:rFonts w:eastAsia="Batang"/>
        </w:rPr>
        <w:t xml:space="preserve">———. “Le Café Tabourey.” In </w:t>
      </w:r>
      <w:r w:rsidRPr="00BD2053">
        <w:rPr>
          <w:rFonts w:eastAsia="Batang"/>
          <w:i/>
          <w:iCs/>
        </w:rPr>
        <w:t>Histoire Anecdotique Des Cafés et Cabarets de Paris</w:t>
      </w:r>
      <w:r w:rsidRPr="00BD2053">
        <w:rPr>
          <w:rFonts w:eastAsia="Batang"/>
        </w:rPr>
        <w:t>. Paris: E. Dentu, 1862.</w:t>
      </w:r>
    </w:p>
    <w:p w14:paraId="7268A88D" w14:textId="77777777" w:rsidR="00BD2053" w:rsidRPr="00BD2053" w:rsidRDefault="00BD2053" w:rsidP="00BD2053">
      <w:pPr>
        <w:spacing w:line="480" w:lineRule="auto"/>
        <w:ind w:left="720" w:hanging="720"/>
        <w:rPr>
          <w:rFonts w:eastAsia="Batang"/>
        </w:rPr>
      </w:pPr>
      <w:r w:rsidRPr="00BD2053">
        <w:rPr>
          <w:rFonts w:eastAsia="Batang"/>
        </w:rPr>
        <w:t xml:space="preserve">———. “Le Café Tortoni.” In </w:t>
      </w:r>
      <w:r w:rsidRPr="00BD2053">
        <w:rPr>
          <w:rFonts w:eastAsia="Batang"/>
          <w:i/>
          <w:iCs/>
        </w:rPr>
        <w:t>Histoire Anecdotique Des Cafés et Cabarets de Paris</w:t>
      </w:r>
      <w:r w:rsidRPr="00BD2053">
        <w:rPr>
          <w:rFonts w:eastAsia="Batang"/>
        </w:rPr>
        <w:t>. Paris: E. Dentu, 1862.</w:t>
      </w:r>
    </w:p>
    <w:p w14:paraId="34170C21" w14:textId="77777777" w:rsidR="00BD2053" w:rsidRPr="00BD2053" w:rsidRDefault="00BD2053" w:rsidP="00BD2053">
      <w:pPr>
        <w:spacing w:line="480" w:lineRule="auto"/>
        <w:ind w:left="720" w:hanging="720"/>
        <w:rPr>
          <w:rFonts w:eastAsia="Batang"/>
        </w:rPr>
      </w:pPr>
      <w:r w:rsidRPr="00BD2053">
        <w:rPr>
          <w:rFonts w:eastAsia="Batang"/>
        </w:rPr>
        <w:t xml:space="preserve">Goldstein, Robert Justin. “Fighting French Censorship, 1815-1881.” </w:t>
      </w:r>
      <w:r w:rsidRPr="00BD2053">
        <w:rPr>
          <w:rFonts w:eastAsia="Batang"/>
          <w:i/>
          <w:iCs/>
        </w:rPr>
        <w:t>The French Review</w:t>
      </w:r>
      <w:r w:rsidRPr="00BD2053">
        <w:rPr>
          <w:rFonts w:eastAsia="Batang"/>
        </w:rPr>
        <w:t xml:space="preserve"> 71, no. 5 (1998): 785–96.</w:t>
      </w:r>
    </w:p>
    <w:p w14:paraId="73391ED5" w14:textId="77777777" w:rsidR="00BD2053" w:rsidRPr="00BD2053" w:rsidRDefault="00BD2053" w:rsidP="00BD2053">
      <w:pPr>
        <w:spacing w:line="480" w:lineRule="auto"/>
        <w:ind w:left="720" w:hanging="720"/>
        <w:rPr>
          <w:rFonts w:eastAsia="Batang"/>
        </w:rPr>
      </w:pPr>
      <w:r w:rsidRPr="00BD2053">
        <w:rPr>
          <w:rFonts w:eastAsia="Batang"/>
        </w:rPr>
        <w:t xml:space="preserve">Haine, W. Scott. “Café Friend: Friendship and Fraternity in Parisian Working-Class Cafés, 1850-1914.” </w:t>
      </w:r>
      <w:r w:rsidRPr="00BD2053">
        <w:rPr>
          <w:rFonts w:eastAsia="Batang"/>
          <w:i/>
          <w:iCs/>
        </w:rPr>
        <w:t>Journal of Contemporary Histoy</w:t>
      </w:r>
      <w:r w:rsidRPr="00BD2053">
        <w:rPr>
          <w:rFonts w:eastAsia="Batang"/>
        </w:rPr>
        <w:t xml:space="preserve"> 27, no. 4 (1992): 607–26.</w:t>
      </w:r>
    </w:p>
    <w:p w14:paraId="7160D134" w14:textId="77777777" w:rsidR="00BD2053" w:rsidRPr="00BD2053" w:rsidRDefault="00BD2053" w:rsidP="00BD2053">
      <w:pPr>
        <w:spacing w:line="480" w:lineRule="auto"/>
        <w:ind w:left="720" w:hanging="720"/>
        <w:rPr>
          <w:rFonts w:eastAsia="Batang"/>
        </w:rPr>
      </w:pPr>
      <w:r w:rsidRPr="00BD2053">
        <w:rPr>
          <w:rFonts w:eastAsia="Batang"/>
        </w:rPr>
        <w:t xml:space="preserve">———. “The Priest of the Proletarians: Parisian Café Owners and the Working Class, 1820-1914.” </w:t>
      </w:r>
      <w:r w:rsidRPr="00BD2053">
        <w:rPr>
          <w:rFonts w:eastAsia="Batang"/>
          <w:i/>
          <w:iCs/>
        </w:rPr>
        <w:t>International Labor and Working-Class History</w:t>
      </w:r>
      <w:r w:rsidRPr="00BD2053">
        <w:rPr>
          <w:rFonts w:eastAsia="Batang"/>
        </w:rPr>
        <w:t>, no. 45 (1994): 16–28.</w:t>
      </w:r>
    </w:p>
    <w:p w14:paraId="2A46B373" w14:textId="77777777" w:rsidR="00BD2053" w:rsidRPr="00BD2053" w:rsidRDefault="00BD2053" w:rsidP="00BD2053">
      <w:pPr>
        <w:spacing w:line="480" w:lineRule="auto"/>
        <w:ind w:left="720" w:hanging="720"/>
        <w:rPr>
          <w:rFonts w:eastAsia="Batang"/>
        </w:rPr>
      </w:pPr>
      <w:r w:rsidRPr="00BD2053">
        <w:rPr>
          <w:rFonts w:eastAsia="Batang"/>
        </w:rPr>
        <w:lastRenderedPageBreak/>
        <w:t xml:space="preserve">Herbert, Robert. “Bibliography.” In </w:t>
      </w:r>
      <w:r w:rsidRPr="00BD2053">
        <w:rPr>
          <w:rFonts w:eastAsia="Batang"/>
          <w:i/>
          <w:iCs/>
        </w:rPr>
        <w:t>Impressionism: Art, Leisure, and Parisian Society</w:t>
      </w:r>
      <w:r w:rsidRPr="00BD2053">
        <w:rPr>
          <w:rFonts w:eastAsia="Batang"/>
        </w:rPr>
        <w:t xml:space="preserve">, 59–91. Yale University Press, 1988. </w:t>
      </w:r>
      <w:hyperlink r:id="rId9" w:history="1">
        <w:r w:rsidRPr="00BD2053">
          <w:rPr>
            <w:rStyle w:val="Hyperlink"/>
            <w:rFonts w:eastAsia="Batang"/>
          </w:rPr>
          <w:t>https://aaeportal.com/?id=-15810</w:t>
        </w:r>
      </w:hyperlink>
      <w:r w:rsidRPr="00BD2053">
        <w:rPr>
          <w:rFonts w:eastAsia="Batang"/>
        </w:rPr>
        <w:t>.</w:t>
      </w:r>
    </w:p>
    <w:p w14:paraId="755F0A7B" w14:textId="77777777" w:rsidR="00BD2053" w:rsidRPr="00BD2053" w:rsidRDefault="00BD2053" w:rsidP="00BD2053">
      <w:pPr>
        <w:spacing w:line="480" w:lineRule="auto"/>
        <w:ind w:left="720" w:hanging="720"/>
        <w:rPr>
          <w:rFonts w:eastAsia="Batang"/>
        </w:rPr>
      </w:pPr>
      <w:r w:rsidRPr="00BD2053">
        <w:rPr>
          <w:rFonts w:eastAsia="Batang"/>
        </w:rPr>
        <w:t xml:space="preserve">———. “Café and Café-Concert.” In </w:t>
      </w:r>
      <w:r w:rsidRPr="00BD2053">
        <w:rPr>
          <w:rFonts w:eastAsia="Batang"/>
          <w:i/>
          <w:iCs/>
        </w:rPr>
        <w:t>Impressionism: Art, Leisure, and Parisian Society</w:t>
      </w:r>
      <w:r w:rsidRPr="00BD2053">
        <w:rPr>
          <w:rFonts w:eastAsia="Batang"/>
        </w:rPr>
        <w:t xml:space="preserve">, 59–91. Yale University Press, 1988. </w:t>
      </w:r>
      <w:hyperlink r:id="rId10" w:history="1">
        <w:r w:rsidRPr="00BD2053">
          <w:rPr>
            <w:rStyle w:val="Hyperlink"/>
            <w:rFonts w:eastAsia="Batang"/>
          </w:rPr>
          <w:t>https://aaeportal-com.proxy048.nclive.org/?id=-15804</w:t>
        </w:r>
      </w:hyperlink>
      <w:r w:rsidRPr="00BD2053">
        <w:rPr>
          <w:rFonts w:eastAsia="Batang"/>
        </w:rPr>
        <w:t>.</w:t>
      </w:r>
    </w:p>
    <w:p w14:paraId="5A220A5E" w14:textId="77777777" w:rsidR="00BD2053" w:rsidRPr="00BD2053" w:rsidRDefault="00BD2053" w:rsidP="00BD2053">
      <w:pPr>
        <w:spacing w:line="480" w:lineRule="auto"/>
        <w:ind w:left="720" w:hanging="720"/>
        <w:rPr>
          <w:rFonts w:eastAsia="Batang"/>
        </w:rPr>
      </w:pPr>
      <w:r w:rsidRPr="00BD2053">
        <w:rPr>
          <w:rFonts w:eastAsia="Batang"/>
        </w:rPr>
        <w:t xml:space="preserve">———. “Paris Transformed.” In </w:t>
      </w:r>
      <w:r w:rsidRPr="00BD2053">
        <w:rPr>
          <w:rFonts w:eastAsia="Batang"/>
          <w:i/>
          <w:iCs/>
        </w:rPr>
        <w:t>Impressionism: Art, Leisure, and Parisian Society</w:t>
      </w:r>
      <w:r w:rsidRPr="00BD2053">
        <w:rPr>
          <w:rFonts w:eastAsia="Batang"/>
        </w:rPr>
        <w:t xml:space="preserve">, 1–32. Yale University Press, 1988. </w:t>
      </w:r>
      <w:hyperlink r:id="rId11" w:history="1">
        <w:r w:rsidRPr="00BD2053">
          <w:rPr>
            <w:rStyle w:val="Hyperlink"/>
            <w:rFonts w:eastAsia="Batang"/>
          </w:rPr>
          <w:t>https://doi.org/10.37862/aaeportal.00067.005</w:t>
        </w:r>
      </w:hyperlink>
      <w:r w:rsidRPr="00BD2053">
        <w:rPr>
          <w:rFonts w:eastAsia="Batang"/>
        </w:rPr>
        <w:t>.</w:t>
      </w:r>
    </w:p>
    <w:p w14:paraId="66F49163" w14:textId="77777777" w:rsidR="00BD2053" w:rsidRPr="00BD2053" w:rsidRDefault="00BD2053" w:rsidP="00BD2053">
      <w:pPr>
        <w:spacing w:line="480" w:lineRule="auto"/>
        <w:ind w:left="720" w:hanging="720"/>
        <w:rPr>
          <w:rFonts w:eastAsia="Batang"/>
        </w:rPr>
      </w:pPr>
      <w:r w:rsidRPr="00BD2053">
        <w:rPr>
          <w:rFonts w:eastAsia="Batang"/>
        </w:rPr>
        <w:t xml:space="preserve">James-Chakraborty, Kathleen. “Paris in the Nineteenth Century.” In </w:t>
      </w:r>
      <w:r w:rsidRPr="00BD2053">
        <w:rPr>
          <w:rFonts w:eastAsia="Batang"/>
          <w:i/>
          <w:iCs/>
        </w:rPr>
        <w:t>Architecture since 1400</w:t>
      </w:r>
      <w:r w:rsidRPr="00BD2053">
        <w:rPr>
          <w:rFonts w:eastAsia="Batang"/>
        </w:rPr>
        <w:t xml:space="preserve">, 273–89. University of Minnesota Press, 2014. </w:t>
      </w:r>
      <w:hyperlink r:id="rId12" w:history="1">
        <w:r w:rsidRPr="00BD2053">
          <w:rPr>
            <w:rStyle w:val="Hyperlink"/>
            <w:rFonts w:eastAsia="Batang"/>
          </w:rPr>
          <w:t>http://www.jstor.org/stable/10.5749/j.ctt9qh39w.22</w:t>
        </w:r>
      </w:hyperlink>
      <w:r w:rsidRPr="00BD2053">
        <w:rPr>
          <w:rFonts w:eastAsia="Batang"/>
        </w:rPr>
        <w:t>.</w:t>
      </w:r>
    </w:p>
    <w:p w14:paraId="4F7A699E" w14:textId="77777777" w:rsidR="00BD2053" w:rsidRPr="00BD2053" w:rsidRDefault="00BD2053" w:rsidP="00BD2053">
      <w:pPr>
        <w:spacing w:line="480" w:lineRule="auto"/>
        <w:ind w:left="720" w:hanging="720"/>
        <w:rPr>
          <w:rFonts w:eastAsia="Batang"/>
        </w:rPr>
      </w:pPr>
      <w:r w:rsidRPr="00BD2053">
        <w:rPr>
          <w:rFonts w:eastAsia="Batang"/>
        </w:rPr>
        <w:t xml:space="preserve">McDonnell, Hugh. “The Paris Café as a Europeanising Space.” In </w:t>
      </w:r>
      <w:r w:rsidRPr="00BD2053">
        <w:rPr>
          <w:rFonts w:eastAsia="Batang"/>
          <w:i/>
          <w:iCs/>
        </w:rPr>
        <w:t>Europeanising Spaces in Paris</w:t>
      </w:r>
      <w:r w:rsidRPr="00BD2053">
        <w:rPr>
          <w:rFonts w:eastAsia="Batang"/>
        </w:rPr>
        <w:t xml:space="preserve">, 16–36. Liverpool University Press, 2016. </w:t>
      </w:r>
      <w:hyperlink r:id="rId13" w:history="1">
        <w:r w:rsidRPr="00BD2053">
          <w:rPr>
            <w:rStyle w:val="Hyperlink"/>
            <w:rFonts w:eastAsia="Batang"/>
          </w:rPr>
          <w:t>https://www.jstor.org/stable/j.ctt1gpcb0m.6</w:t>
        </w:r>
      </w:hyperlink>
      <w:r w:rsidRPr="00BD2053">
        <w:rPr>
          <w:rFonts w:eastAsia="Batang"/>
        </w:rPr>
        <w:t>.</w:t>
      </w:r>
    </w:p>
    <w:p w14:paraId="2632A665" w14:textId="77777777" w:rsidR="00BD2053" w:rsidRPr="00BD2053" w:rsidRDefault="00BD2053" w:rsidP="00BD2053">
      <w:pPr>
        <w:spacing w:line="480" w:lineRule="auto"/>
        <w:ind w:left="720" w:hanging="720"/>
        <w:rPr>
          <w:rFonts w:eastAsia="Batang"/>
        </w:rPr>
      </w:pPr>
      <w:r w:rsidRPr="00BD2053">
        <w:rPr>
          <w:rFonts w:eastAsia="Batang"/>
        </w:rPr>
        <w:t xml:space="preserve">Nadar. </w:t>
      </w:r>
      <w:r w:rsidRPr="00BD2053">
        <w:rPr>
          <w:rFonts w:eastAsia="Batang"/>
          <w:i/>
          <w:iCs/>
        </w:rPr>
        <w:t>Delveau, Littérateur</w:t>
      </w:r>
      <w:r w:rsidRPr="00BD2053">
        <w:rPr>
          <w:rFonts w:eastAsia="Batang"/>
        </w:rPr>
        <w:t xml:space="preserve">. 1900. Photograph. Gallica. </w:t>
      </w:r>
      <w:hyperlink r:id="rId14" w:history="1">
        <w:r w:rsidRPr="00BD2053">
          <w:rPr>
            <w:rStyle w:val="Hyperlink"/>
            <w:rFonts w:eastAsia="Batang"/>
          </w:rPr>
          <w:t>https://gallica.bnf.fr/ark:/12148/btv1b53065597j.r=alfred%20delvau?rk=21459;2</w:t>
        </w:r>
      </w:hyperlink>
      <w:r w:rsidRPr="00BD2053">
        <w:rPr>
          <w:rFonts w:eastAsia="Batang"/>
        </w:rPr>
        <w:t>.</w:t>
      </w:r>
    </w:p>
    <w:p w14:paraId="00263BEC" w14:textId="77777777" w:rsidR="00BD2053" w:rsidRPr="00BD2053" w:rsidRDefault="00BD2053" w:rsidP="00BD2053">
      <w:pPr>
        <w:spacing w:line="480" w:lineRule="auto"/>
        <w:ind w:left="720" w:hanging="720"/>
        <w:rPr>
          <w:rFonts w:eastAsia="Batang"/>
        </w:rPr>
      </w:pPr>
      <w:r w:rsidRPr="00BD2053">
        <w:rPr>
          <w:rFonts w:eastAsia="Batang"/>
        </w:rPr>
        <w:t xml:space="preserve">Sartori, Eva Martin. “Orientalism.” In </w:t>
      </w:r>
      <w:r w:rsidRPr="00BD2053">
        <w:rPr>
          <w:rFonts w:eastAsia="Batang"/>
          <w:i/>
          <w:iCs/>
        </w:rPr>
        <w:t>The Feminist Encyclopedia of French Literature</w:t>
      </w:r>
      <w:r w:rsidRPr="00BD2053">
        <w:rPr>
          <w:rFonts w:eastAsia="Batang"/>
        </w:rPr>
        <w:t xml:space="preserve">, 401–2. Greenwood Press, 1999. </w:t>
      </w:r>
      <w:hyperlink r:id="rId15" w:history="1">
        <w:r w:rsidRPr="00BD2053">
          <w:rPr>
            <w:rStyle w:val="Hyperlink"/>
            <w:rFonts w:eastAsia="Batang"/>
          </w:rPr>
          <w:t>link.gale.com/apps/doc/CX2890500387/GVRL?u=nclivedc&amp;sid=bookmark-GVRL&amp;xid=67022356</w:t>
        </w:r>
      </w:hyperlink>
      <w:r w:rsidRPr="00BD2053">
        <w:rPr>
          <w:rFonts w:eastAsia="Batang"/>
        </w:rPr>
        <w:t>.</w:t>
      </w:r>
    </w:p>
    <w:p w14:paraId="55D58E4C" w14:textId="096E6653" w:rsidR="00BD2053" w:rsidRPr="00BD2053" w:rsidRDefault="0033785A" w:rsidP="00BD2053">
      <w:pPr>
        <w:spacing w:line="480" w:lineRule="auto"/>
        <w:ind w:left="720" w:hanging="720"/>
        <w:rPr>
          <w:rFonts w:eastAsia="Batang"/>
        </w:rPr>
      </w:pPr>
      <w:r>
        <w:rPr>
          <w:rFonts w:eastAsia="Batang"/>
        </w:rPr>
        <w:t>Seigel</w:t>
      </w:r>
      <w:r w:rsidR="00BD2053" w:rsidRPr="00BD2053">
        <w:rPr>
          <w:rFonts w:eastAsia="Batang"/>
        </w:rPr>
        <w:t xml:space="preserve">, Jerrold. “Politics, Fantasy, Identity: Bohemia in the Revolution of 1848.” In </w:t>
      </w:r>
      <w:r w:rsidR="00BD2053" w:rsidRPr="00BD2053">
        <w:rPr>
          <w:rFonts w:eastAsia="Batang"/>
          <w:i/>
          <w:iCs/>
        </w:rPr>
        <w:t>Bohemian Paris: Culture, Politics, and the Boundaries of Bourgeois Life, 1830-1930</w:t>
      </w:r>
      <w:r w:rsidR="00BD2053" w:rsidRPr="00BD2053">
        <w:rPr>
          <w:rFonts w:eastAsia="Batang"/>
        </w:rPr>
        <w:t>, 59–96. Baltimore: Johns Hopkins University Press, 1986.</w:t>
      </w:r>
    </w:p>
    <w:p w14:paraId="7CC0D0F9" w14:textId="77777777" w:rsidR="00BD2053" w:rsidRPr="00BD2053" w:rsidRDefault="00BD2053" w:rsidP="00BD2053">
      <w:pPr>
        <w:spacing w:line="480" w:lineRule="auto"/>
        <w:ind w:left="720" w:hanging="720"/>
        <w:rPr>
          <w:rFonts w:eastAsia="Batang"/>
        </w:rPr>
      </w:pPr>
      <w:r w:rsidRPr="00BD2053">
        <w:rPr>
          <w:rFonts w:eastAsia="Batang"/>
        </w:rPr>
        <w:lastRenderedPageBreak/>
        <w:t xml:space="preserve">———. “The Boundaries of Bohemia.” In </w:t>
      </w:r>
      <w:r w:rsidRPr="00BD2053">
        <w:rPr>
          <w:rFonts w:eastAsia="Batang"/>
          <w:i/>
          <w:iCs/>
        </w:rPr>
        <w:t>Bohemian Paris: Culture, Politics, and the Boundaries of Bourgeois Life, 1830-1930</w:t>
      </w:r>
      <w:r w:rsidRPr="00BD2053">
        <w:rPr>
          <w:rFonts w:eastAsia="Batang"/>
        </w:rPr>
        <w:t>, 3–30. Baltimore: Johns Hopkins University Press, 1986.</w:t>
      </w:r>
    </w:p>
    <w:p w14:paraId="0C1DE71B" w14:textId="77777777" w:rsidR="00BD2053" w:rsidRPr="00BD2053" w:rsidRDefault="00BD2053" w:rsidP="00BD2053">
      <w:pPr>
        <w:spacing w:line="480" w:lineRule="auto"/>
        <w:ind w:left="720" w:hanging="720"/>
        <w:rPr>
          <w:rFonts w:eastAsia="Batang"/>
        </w:rPr>
      </w:pPr>
      <w:r w:rsidRPr="00BD2053">
        <w:rPr>
          <w:rFonts w:eastAsia="Batang"/>
        </w:rPr>
        <w:t xml:space="preserve">Wilson, Elizabeth. “The Bohemianization of Mass Culture.” </w:t>
      </w:r>
      <w:r w:rsidRPr="00BD2053">
        <w:rPr>
          <w:rFonts w:eastAsia="Batang"/>
          <w:i/>
          <w:iCs/>
        </w:rPr>
        <w:t>International Journal of Cultural Studies</w:t>
      </w:r>
      <w:r w:rsidRPr="00BD2053">
        <w:rPr>
          <w:rFonts w:eastAsia="Batang"/>
        </w:rPr>
        <w:t xml:space="preserve"> 2, no. 1 (1999): 11–32.</w:t>
      </w:r>
    </w:p>
    <w:p w14:paraId="78101FD2" w14:textId="77777777" w:rsidR="00BD2053" w:rsidRPr="008E0FA9" w:rsidRDefault="00BD2053" w:rsidP="00BD2053">
      <w:pPr>
        <w:spacing w:line="480" w:lineRule="auto"/>
        <w:ind w:left="720" w:hanging="720"/>
        <w:rPr>
          <w:rFonts w:eastAsia="Batang"/>
        </w:rPr>
      </w:pPr>
    </w:p>
    <w:sectPr w:rsidR="00BD2053" w:rsidRPr="008E0FA9" w:rsidSect="00CC5ADF">
      <w:headerReference w:type="even" r:id="rId16"/>
      <w:headerReference w:type="defaul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2F54B2" w14:textId="77777777" w:rsidR="003D4038" w:rsidRDefault="003D4038" w:rsidP="000D1ED1">
      <w:r>
        <w:separator/>
      </w:r>
    </w:p>
  </w:endnote>
  <w:endnote w:type="continuationSeparator" w:id="0">
    <w:p w14:paraId="5BBDFD5B" w14:textId="77777777" w:rsidR="003D4038" w:rsidRDefault="003D4038" w:rsidP="000D1E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DAFC9C" w14:textId="77777777" w:rsidR="003D4038" w:rsidRDefault="003D4038" w:rsidP="000D1ED1">
      <w:r>
        <w:separator/>
      </w:r>
    </w:p>
  </w:footnote>
  <w:footnote w:type="continuationSeparator" w:id="0">
    <w:p w14:paraId="611CB97C" w14:textId="77777777" w:rsidR="003D4038" w:rsidRDefault="003D4038" w:rsidP="000D1ED1">
      <w:r>
        <w:continuationSeparator/>
      </w:r>
    </w:p>
  </w:footnote>
  <w:footnote w:id="1">
    <w:p w14:paraId="217D8DA2" w14:textId="1FD39A89" w:rsidR="000D5798" w:rsidRDefault="000D5798" w:rsidP="008E3CBD">
      <w:pPr>
        <w:pStyle w:val="FootnoteText"/>
        <w:ind w:firstLine="720"/>
      </w:pPr>
      <w:r>
        <w:rPr>
          <w:rStyle w:val="FootnoteReference"/>
        </w:rPr>
        <w:footnoteRef/>
      </w:r>
      <w:r>
        <w:t xml:space="preserve"> </w:t>
      </w:r>
      <w:r w:rsidRPr="000D5798">
        <w:t xml:space="preserve">Brett Bowles, “Alfred Delvau’s Dictionaries: Vehicles of Lexical and Sociocultural Change in Second-Empire Paris,” </w:t>
      </w:r>
      <w:r w:rsidRPr="000D5798">
        <w:rPr>
          <w:i/>
          <w:iCs/>
        </w:rPr>
        <w:t>The French Review</w:t>
      </w:r>
      <w:r w:rsidRPr="000D5798">
        <w:t xml:space="preserve"> 71, no. 2 (1997): 21</w:t>
      </w:r>
      <w:r w:rsidR="008E3CBD">
        <w:t>4</w:t>
      </w:r>
      <w:r w:rsidRPr="000D5798">
        <w:t>.</w:t>
      </w:r>
      <w:r w:rsidR="008E3CBD">
        <w:t xml:space="preserve"> </w:t>
      </w:r>
    </w:p>
  </w:footnote>
  <w:footnote w:id="2">
    <w:p w14:paraId="1074082E" w14:textId="21FE87EC" w:rsidR="00595A71" w:rsidRDefault="00595A71" w:rsidP="008E3CBD">
      <w:pPr>
        <w:pStyle w:val="FootnoteText"/>
        <w:ind w:firstLine="720"/>
      </w:pPr>
      <w:r>
        <w:rPr>
          <w:rStyle w:val="FootnoteReference"/>
        </w:rPr>
        <w:footnoteRef/>
      </w:r>
      <w:r>
        <w:t xml:space="preserve"> The July Monarchy refers to Louis-Philippe’s reign that lasted from 1830 to the Revolution of 1848. He served the interests of the bourgeoise while neglecting the lower-class. During the Revolution of 1848, republicans and working-class citizens revolted against </w:t>
      </w:r>
      <w:r w:rsidR="007E75DE">
        <w:t>the</w:t>
      </w:r>
      <w:r>
        <w:t xml:space="preserve"> government</w:t>
      </w:r>
      <w:r w:rsidR="007E75DE">
        <w:t xml:space="preserve">, ending Louis-Philippe’s reign and establishing the Second French Republic. </w:t>
      </w:r>
      <w:r w:rsidR="000D5798">
        <w:t>Bowles, “Dictionaries</w:t>
      </w:r>
      <w:r w:rsidR="008E3CBD">
        <w:t>,</w:t>
      </w:r>
      <w:r w:rsidR="000D5798">
        <w:t>”</w:t>
      </w:r>
      <w:r w:rsidR="008E3CBD">
        <w:t xml:space="preserve"> 214. </w:t>
      </w:r>
      <w:r w:rsidR="000D5798">
        <w:t xml:space="preserve"> </w:t>
      </w:r>
    </w:p>
  </w:footnote>
  <w:footnote w:id="3">
    <w:p w14:paraId="1A66223D" w14:textId="27A8123E" w:rsidR="008E3CBD" w:rsidRDefault="008E3CBD" w:rsidP="008E3CBD">
      <w:pPr>
        <w:pStyle w:val="FootnoteText"/>
        <w:ind w:firstLine="720"/>
      </w:pPr>
      <w:r>
        <w:rPr>
          <w:rStyle w:val="FootnoteReference"/>
        </w:rPr>
        <w:footnoteRef/>
      </w:r>
      <w:r>
        <w:t xml:space="preserve"> Bowles, 214.  </w:t>
      </w:r>
    </w:p>
  </w:footnote>
  <w:footnote w:id="4">
    <w:p w14:paraId="40A3FB53" w14:textId="5F84D110" w:rsidR="008E3CBD" w:rsidRDefault="008E3CBD" w:rsidP="008E3CBD">
      <w:pPr>
        <w:pStyle w:val="FootnoteText"/>
        <w:ind w:firstLine="720"/>
      </w:pPr>
      <w:r>
        <w:rPr>
          <w:rStyle w:val="FootnoteReference"/>
        </w:rPr>
        <w:footnoteRef/>
      </w:r>
      <w:r>
        <w:t xml:space="preserve"> Bowles, 214.  </w:t>
      </w:r>
    </w:p>
  </w:footnote>
  <w:footnote w:id="5">
    <w:p w14:paraId="3A727FD1" w14:textId="16A9FD1D" w:rsidR="008E3CBD" w:rsidRDefault="008E3CBD" w:rsidP="008E3CBD">
      <w:pPr>
        <w:pStyle w:val="FootnoteText"/>
        <w:ind w:firstLine="720"/>
      </w:pPr>
      <w:r>
        <w:rPr>
          <w:rStyle w:val="FootnoteReference"/>
        </w:rPr>
        <w:footnoteRef/>
      </w:r>
      <w:r>
        <w:t xml:space="preserve"> </w:t>
      </w:r>
      <w:r w:rsidRPr="008E3CBD">
        <w:t xml:space="preserve">Alfred Delvau, </w:t>
      </w:r>
      <w:r w:rsidRPr="008E3CBD">
        <w:rPr>
          <w:i/>
          <w:iCs/>
        </w:rPr>
        <w:t>Histoire Anecdotique Des Cafés et Cabarets de Paris</w:t>
      </w:r>
      <w:r w:rsidRPr="008E3CBD">
        <w:t xml:space="preserve"> (Paris: E. Dentu, 1862), </w:t>
      </w:r>
      <w:hyperlink r:id="rId1" w:history="1">
        <w:r w:rsidRPr="008E3CBD">
          <w:rPr>
            <w:rStyle w:val="Hyperlink"/>
          </w:rPr>
          <w:t>https://gallica.bnf.fr/ark:/12148/bpt6k1025028b#</w:t>
        </w:r>
      </w:hyperlink>
      <w:r w:rsidRPr="008E3CBD">
        <w:t>.</w:t>
      </w:r>
      <w:r>
        <w:t xml:space="preserve"> </w:t>
      </w:r>
    </w:p>
  </w:footnote>
  <w:footnote w:id="6">
    <w:p w14:paraId="7FE8FEF6" w14:textId="6F3D6F42" w:rsidR="008E3CBD" w:rsidRDefault="008E3CBD" w:rsidP="008E3CBD">
      <w:pPr>
        <w:pStyle w:val="FootnoteText"/>
        <w:ind w:firstLine="720"/>
      </w:pPr>
      <w:r>
        <w:rPr>
          <w:rStyle w:val="FootnoteReference"/>
        </w:rPr>
        <w:footnoteRef/>
      </w:r>
      <w:r>
        <w:t xml:space="preserve"> Bowles, 213.  </w:t>
      </w:r>
    </w:p>
  </w:footnote>
  <w:footnote w:id="7">
    <w:p w14:paraId="3CDC0BDB" w14:textId="4D4D8D95" w:rsidR="00813CAE" w:rsidRPr="00C329A1" w:rsidRDefault="00813CAE" w:rsidP="008E3CBD">
      <w:pPr>
        <w:ind w:firstLine="720"/>
        <w:rPr>
          <w:rFonts w:eastAsia="Batang"/>
          <w:sz w:val="20"/>
          <w:szCs w:val="20"/>
        </w:rPr>
      </w:pPr>
      <w:r>
        <w:rPr>
          <w:rStyle w:val="FootnoteReference"/>
        </w:rPr>
        <w:footnoteRef/>
      </w:r>
      <w:r>
        <w:t xml:space="preserve"> </w:t>
      </w:r>
      <w:r w:rsidR="008E3CBD" w:rsidRPr="008E3CBD">
        <w:rPr>
          <w:rFonts w:eastAsia="Batang"/>
          <w:sz w:val="20"/>
          <w:szCs w:val="20"/>
        </w:rPr>
        <w:t>Literary pieces as political tools have long been a fixture in French history, providing readers with a circulation of ideas that Delvau builds off of with his text.</w:t>
      </w:r>
      <w:r w:rsidR="008E3CBD">
        <w:rPr>
          <w:rFonts w:eastAsia="Batang"/>
          <w:sz w:val="20"/>
          <w:szCs w:val="20"/>
        </w:rPr>
        <w:t xml:space="preserve"> For example, b</w:t>
      </w:r>
      <w:r w:rsidRPr="00475EF9">
        <w:rPr>
          <w:sz w:val="20"/>
          <w:szCs w:val="20"/>
        </w:rPr>
        <w:t xml:space="preserve">ooks played a role in the intellectual climate of the French Revolution, producing “a veritable ‘ideological erosion’ that may have made the revolutionary rupture inevitable” (81). </w:t>
      </w:r>
      <w:r w:rsidR="008E3CBD" w:rsidRPr="008E3CBD">
        <w:rPr>
          <w:sz w:val="20"/>
          <w:szCs w:val="20"/>
        </w:rPr>
        <w:t xml:space="preserve">Roger Chartier, “Do Books Make Revolutions?,” in </w:t>
      </w:r>
      <w:r w:rsidR="008E3CBD" w:rsidRPr="008E3CBD">
        <w:rPr>
          <w:i/>
          <w:iCs/>
          <w:sz w:val="20"/>
          <w:szCs w:val="20"/>
        </w:rPr>
        <w:t>The Cultural Origins of the French Revolution</w:t>
      </w:r>
      <w:r w:rsidR="008E3CBD" w:rsidRPr="008E3CBD">
        <w:rPr>
          <w:sz w:val="20"/>
          <w:szCs w:val="20"/>
        </w:rPr>
        <w:t xml:space="preserve"> (Durham, NC, 1991), </w:t>
      </w:r>
      <w:r w:rsidR="008E3CBD">
        <w:rPr>
          <w:sz w:val="20"/>
          <w:szCs w:val="20"/>
        </w:rPr>
        <w:t xml:space="preserve">81. </w:t>
      </w:r>
    </w:p>
  </w:footnote>
  <w:footnote w:id="8">
    <w:p w14:paraId="4334C885" w14:textId="5D32EB47" w:rsidR="002834E9" w:rsidRDefault="002834E9" w:rsidP="002834E9">
      <w:pPr>
        <w:pStyle w:val="FootnoteText"/>
        <w:ind w:firstLine="720"/>
      </w:pPr>
      <w:r>
        <w:rPr>
          <w:rStyle w:val="FootnoteReference"/>
        </w:rPr>
        <w:footnoteRef/>
      </w:r>
      <w:r>
        <w:t xml:space="preserve"> </w:t>
      </w:r>
      <w:r w:rsidRPr="002834E9">
        <w:t xml:space="preserve">Alfred Delvau, “En Sortant,” in </w:t>
      </w:r>
      <w:r w:rsidRPr="002834E9">
        <w:rPr>
          <w:i/>
          <w:iCs/>
        </w:rPr>
        <w:t>Histoire Anecdotique Des Cafés et Cabarets de Paris</w:t>
      </w:r>
      <w:r w:rsidRPr="002834E9">
        <w:t xml:space="preserve"> (Paris: E. Dentu, 1862).</w:t>
      </w:r>
      <w:r>
        <w:t xml:space="preserve"> </w:t>
      </w:r>
    </w:p>
  </w:footnote>
  <w:footnote w:id="9">
    <w:p w14:paraId="4AEF9A33" w14:textId="585869CC" w:rsidR="002834E9" w:rsidRDefault="002834E9" w:rsidP="002834E9">
      <w:pPr>
        <w:pStyle w:val="FootnoteText"/>
        <w:ind w:firstLine="720"/>
      </w:pPr>
      <w:r>
        <w:rPr>
          <w:rStyle w:val="FootnoteReference"/>
        </w:rPr>
        <w:footnoteRef/>
      </w:r>
      <w:r>
        <w:t xml:space="preserve"> Bowles</w:t>
      </w:r>
      <w:r w:rsidR="00102ACB">
        <w:t>, 213-224.</w:t>
      </w:r>
    </w:p>
  </w:footnote>
  <w:footnote w:id="10">
    <w:p w14:paraId="314DC165" w14:textId="76704373" w:rsidR="002834E9" w:rsidRDefault="002834E9" w:rsidP="002834E9">
      <w:pPr>
        <w:pStyle w:val="FootnoteText"/>
        <w:ind w:firstLine="720"/>
      </w:pPr>
      <w:r>
        <w:rPr>
          <w:rStyle w:val="FootnoteReference"/>
        </w:rPr>
        <w:footnoteRef/>
      </w:r>
      <w:r>
        <w:t xml:space="preserve"> Bowles,</w:t>
      </w:r>
      <w:r w:rsidR="00102ACB">
        <w:t xml:space="preserve"> 213-224. </w:t>
      </w:r>
    </w:p>
  </w:footnote>
  <w:footnote w:id="11">
    <w:p w14:paraId="64ED4EC3" w14:textId="66B76F37" w:rsidR="002834E9" w:rsidRDefault="002834E9" w:rsidP="002834E9">
      <w:pPr>
        <w:pStyle w:val="FootnoteText"/>
        <w:ind w:firstLine="720"/>
      </w:pPr>
      <w:r>
        <w:rPr>
          <w:rStyle w:val="FootnoteReference"/>
        </w:rPr>
        <w:footnoteRef/>
      </w:r>
      <w:r>
        <w:t xml:space="preserve"> </w:t>
      </w:r>
      <w:r w:rsidRPr="002834E9">
        <w:t xml:space="preserve">Robert Herbert, “Café and Café-Concert,” in </w:t>
      </w:r>
      <w:r w:rsidRPr="002834E9">
        <w:rPr>
          <w:i/>
          <w:iCs/>
        </w:rPr>
        <w:t>Impressionism: Art, Leisure, and Parisian Society</w:t>
      </w:r>
      <w:r w:rsidRPr="002834E9">
        <w:t xml:space="preserve"> (Yale University Press, 1988), 59–91, </w:t>
      </w:r>
      <w:hyperlink r:id="rId2" w:history="1">
        <w:r w:rsidRPr="002834E9">
          <w:rPr>
            <w:rStyle w:val="Hyperlink"/>
          </w:rPr>
          <w:t>https://aaeportal-com.proxy048.nclive.org/?id=-15804</w:t>
        </w:r>
      </w:hyperlink>
      <w:r w:rsidRPr="002834E9">
        <w:t>.</w:t>
      </w:r>
      <w:r>
        <w:t xml:space="preserve"> </w:t>
      </w:r>
    </w:p>
  </w:footnote>
  <w:footnote w:id="12">
    <w:p w14:paraId="48909019" w14:textId="77777777" w:rsidR="00377A48" w:rsidRDefault="00377A48" w:rsidP="00377A48">
      <w:pPr>
        <w:pStyle w:val="FootnoteText"/>
        <w:ind w:firstLine="720"/>
      </w:pPr>
      <w:r>
        <w:rPr>
          <w:rStyle w:val="FootnoteReference"/>
        </w:rPr>
        <w:footnoteRef/>
      </w:r>
      <w:r>
        <w:t xml:space="preserve"> </w:t>
      </w:r>
      <w:r w:rsidRPr="004E4107">
        <w:t xml:space="preserve">Robert Herbert, “Bibliography,” in </w:t>
      </w:r>
      <w:r w:rsidRPr="004E4107">
        <w:rPr>
          <w:i/>
          <w:iCs/>
        </w:rPr>
        <w:t>Impressionism: Art, Leisure, and Parisian Society</w:t>
      </w:r>
      <w:r w:rsidRPr="004E4107">
        <w:t xml:space="preserve"> (Yale University Press, 1988), 59–91, </w:t>
      </w:r>
      <w:hyperlink r:id="rId3" w:history="1">
        <w:r w:rsidRPr="004E4107">
          <w:rPr>
            <w:rStyle w:val="Hyperlink"/>
          </w:rPr>
          <w:t>https://aaeportal.com/?id=-15810</w:t>
        </w:r>
      </w:hyperlink>
      <w:r w:rsidRPr="004E4107">
        <w:t>.</w:t>
      </w:r>
      <w:r>
        <w:t xml:space="preserve"> </w:t>
      </w:r>
    </w:p>
  </w:footnote>
  <w:footnote w:id="13">
    <w:p w14:paraId="28983827" w14:textId="2F8D585E" w:rsidR="004E4107" w:rsidRDefault="004E4107" w:rsidP="004E4107">
      <w:pPr>
        <w:pStyle w:val="FootnoteText"/>
        <w:ind w:firstLine="720"/>
      </w:pPr>
      <w:r>
        <w:rPr>
          <w:rStyle w:val="FootnoteReference"/>
        </w:rPr>
        <w:footnoteRef/>
      </w:r>
      <w:r>
        <w:t xml:space="preserve"> Patricia Tilburg “Revolution of 1848, Realism, and Millet.” Class Lecture, Davidson College, October 2, 2024. </w:t>
      </w:r>
    </w:p>
  </w:footnote>
  <w:footnote w:id="14">
    <w:p w14:paraId="34C24849" w14:textId="29EEFD4D" w:rsidR="004E4107" w:rsidRDefault="004E4107" w:rsidP="004E4107">
      <w:pPr>
        <w:pStyle w:val="FootnoteText"/>
        <w:ind w:firstLine="720"/>
      </w:pPr>
      <w:r>
        <w:rPr>
          <w:rStyle w:val="FootnoteReference"/>
        </w:rPr>
        <w:footnoteRef/>
      </w:r>
      <w:r>
        <w:t xml:space="preserve"> Tilburg, “Revolution of 1848.”  </w:t>
      </w:r>
    </w:p>
  </w:footnote>
  <w:footnote w:id="15">
    <w:p w14:paraId="071B4AEF" w14:textId="19DAE17F" w:rsidR="004E4107" w:rsidRDefault="004E4107" w:rsidP="004E4107">
      <w:pPr>
        <w:pStyle w:val="FootnoteText"/>
        <w:ind w:firstLine="720"/>
      </w:pPr>
      <w:r>
        <w:rPr>
          <w:rStyle w:val="FootnoteReference"/>
        </w:rPr>
        <w:footnoteRef/>
      </w:r>
      <w:r>
        <w:t xml:space="preserve"> </w:t>
      </w:r>
      <w:r w:rsidRPr="004E4107">
        <w:t xml:space="preserve">Robert Justin Goldstein, “Fighting French Censorship, 1815-1881,” </w:t>
      </w:r>
      <w:r w:rsidRPr="004E4107">
        <w:rPr>
          <w:i/>
          <w:iCs/>
        </w:rPr>
        <w:t>The French Review</w:t>
      </w:r>
      <w:r w:rsidRPr="004E4107">
        <w:t xml:space="preserve"> 71, no. 5 (1998): 785</w:t>
      </w:r>
      <w:r>
        <w:t xml:space="preserve">. </w:t>
      </w:r>
    </w:p>
  </w:footnote>
  <w:footnote w:id="16">
    <w:p w14:paraId="6CC900ED" w14:textId="573B6DE0" w:rsidR="004E4107" w:rsidRDefault="004E4107" w:rsidP="004E4107">
      <w:pPr>
        <w:pStyle w:val="FootnoteText"/>
        <w:ind w:firstLine="720"/>
      </w:pPr>
      <w:r>
        <w:rPr>
          <w:rStyle w:val="FootnoteReference"/>
        </w:rPr>
        <w:footnoteRef/>
      </w:r>
      <w:r>
        <w:t xml:space="preserve"> </w:t>
      </w:r>
      <w:r w:rsidR="000A6037" w:rsidRPr="00020131">
        <w:t xml:space="preserve">W. Scott Haine, “Café Friend: Friendship and Fraternity in Parisian Working-Class Cafés, 1850-1914,” </w:t>
      </w:r>
      <w:r w:rsidR="000A6037" w:rsidRPr="00020131">
        <w:rPr>
          <w:i/>
          <w:iCs/>
        </w:rPr>
        <w:t xml:space="preserve">Journal of Contemporary </w:t>
      </w:r>
      <w:r w:rsidR="00A96FA3" w:rsidRPr="00020131">
        <w:rPr>
          <w:i/>
          <w:iCs/>
        </w:rPr>
        <w:t>History</w:t>
      </w:r>
      <w:r w:rsidR="000A6037" w:rsidRPr="00020131">
        <w:t xml:space="preserve"> 27, no. 4 (1992): 60</w:t>
      </w:r>
      <w:r w:rsidR="000A6037">
        <w:t xml:space="preserve">9. </w:t>
      </w:r>
      <w:r>
        <w:t xml:space="preserve"> </w:t>
      </w:r>
    </w:p>
  </w:footnote>
  <w:footnote w:id="17">
    <w:p w14:paraId="3586AFD5" w14:textId="22F6C8CF" w:rsidR="00987B41" w:rsidRDefault="00987B41" w:rsidP="004E4107">
      <w:pPr>
        <w:pStyle w:val="FootnoteText"/>
        <w:ind w:firstLine="720"/>
      </w:pPr>
      <w:r>
        <w:rPr>
          <w:rStyle w:val="FootnoteReference"/>
        </w:rPr>
        <w:footnoteRef/>
      </w:r>
      <w:r>
        <w:t xml:space="preserve"> </w:t>
      </w:r>
      <w:r w:rsidR="004E4107">
        <w:t xml:space="preserve">Paris had more drinking establishments than any other major city at the time. Haine, “Café Friend,” 607. </w:t>
      </w:r>
    </w:p>
  </w:footnote>
  <w:footnote w:id="18">
    <w:p w14:paraId="11FB5014" w14:textId="381E0904" w:rsidR="000A6037" w:rsidRDefault="000A6037" w:rsidP="000A6037">
      <w:pPr>
        <w:pStyle w:val="FootnoteText"/>
        <w:ind w:firstLine="720"/>
      </w:pPr>
      <w:r>
        <w:rPr>
          <w:rStyle w:val="FootnoteReference"/>
        </w:rPr>
        <w:footnoteRef/>
      </w:r>
      <w:r>
        <w:t xml:space="preserve"> </w:t>
      </w:r>
      <w:r w:rsidRPr="00020131">
        <w:t xml:space="preserve">Hugh McDonnell, “The Paris Café as a Europeanising Space,” in </w:t>
      </w:r>
      <w:r w:rsidRPr="00020131">
        <w:rPr>
          <w:i/>
          <w:iCs/>
        </w:rPr>
        <w:t>Europeanising Spaces in Paris</w:t>
      </w:r>
      <w:r w:rsidRPr="00020131">
        <w:t xml:space="preserve"> (Liverpool University Press, 2016), 16–36</w:t>
      </w:r>
      <w:r>
        <w:t xml:space="preserve">. </w:t>
      </w:r>
      <w:r w:rsidRPr="00020131">
        <w:t xml:space="preserve">Steven Beaudoin, “The World of the Paris Café: Sociability among the French Working Class, 1789-1914, by W. Scott Haine,” </w:t>
      </w:r>
      <w:r w:rsidRPr="00020131">
        <w:rPr>
          <w:i/>
          <w:iCs/>
        </w:rPr>
        <w:t>Journal of Social History</w:t>
      </w:r>
      <w:r w:rsidRPr="00020131">
        <w:t xml:space="preserve"> 31, no. 1 (1997): 200–202.</w:t>
      </w:r>
      <w:r>
        <w:t xml:space="preserve"> </w:t>
      </w:r>
      <w:r w:rsidRPr="00020131">
        <w:t xml:space="preserve">W. Scott Haine, “The Priest of the Proletarians: Parisian Café Owners and the Working Class, 1820-1914,” </w:t>
      </w:r>
      <w:r w:rsidRPr="00020131">
        <w:rPr>
          <w:i/>
          <w:iCs/>
        </w:rPr>
        <w:t>International Labor and Working-Class History</w:t>
      </w:r>
      <w:r w:rsidRPr="00020131">
        <w:t>, no. 45 (1994): 16–28.</w:t>
      </w:r>
      <w:r>
        <w:t xml:space="preserve"> </w:t>
      </w:r>
    </w:p>
  </w:footnote>
  <w:footnote w:id="19">
    <w:p w14:paraId="364F6285" w14:textId="4B9104E8" w:rsidR="004E4107" w:rsidRDefault="004E4107" w:rsidP="004E4107">
      <w:pPr>
        <w:pStyle w:val="FootnoteText"/>
        <w:ind w:firstLine="720"/>
      </w:pPr>
      <w:r>
        <w:rPr>
          <w:rStyle w:val="FootnoteReference"/>
        </w:rPr>
        <w:footnoteRef/>
      </w:r>
      <w:r>
        <w:t xml:space="preserve"> Haine, “Café Friend,” 607.  </w:t>
      </w:r>
    </w:p>
  </w:footnote>
  <w:footnote w:id="20">
    <w:p w14:paraId="0379FCAD" w14:textId="5DFE8D2E" w:rsidR="005336DB" w:rsidRDefault="005336DB" w:rsidP="005336DB">
      <w:pPr>
        <w:pStyle w:val="FootnoteText"/>
        <w:ind w:firstLine="720"/>
      </w:pPr>
      <w:r>
        <w:rPr>
          <w:rStyle w:val="FootnoteReference"/>
        </w:rPr>
        <w:footnoteRef/>
      </w:r>
      <w:r>
        <w:t xml:space="preserve"> </w:t>
      </w:r>
      <w:r w:rsidRPr="005336DB">
        <w:t>Beaudoin, “Paris Café</w:t>
      </w:r>
      <w:r w:rsidR="00020131">
        <w:t xml:space="preserve">,” </w:t>
      </w:r>
      <w:r w:rsidRPr="005336DB">
        <w:t>20</w:t>
      </w:r>
      <w:r>
        <w:t xml:space="preserve">1.  </w:t>
      </w:r>
    </w:p>
  </w:footnote>
  <w:footnote w:id="21">
    <w:p w14:paraId="28C46200" w14:textId="54D07C36" w:rsidR="005336DB" w:rsidRDefault="005336DB" w:rsidP="005336DB">
      <w:pPr>
        <w:pStyle w:val="FootnoteText"/>
        <w:ind w:firstLine="720"/>
      </w:pPr>
      <w:r>
        <w:rPr>
          <w:rStyle w:val="FootnoteReference"/>
        </w:rPr>
        <w:footnoteRef/>
      </w:r>
      <w:r>
        <w:t xml:space="preserve"> Haine, “Café </w:t>
      </w:r>
      <w:r w:rsidR="00020131">
        <w:t>Friend</w:t>
      </w:r>
      <w:r>
        <w:t>,</w:t>
      </w:r>
      <w:r w:rsidR="00020131">
        <w:t>”</w:t>
      </w:r>
      <w:r>
        <w:t xml:space="preserve"> 609.  </w:t>
      </w:r>
    </w:p>
  </w:footnote>
  <w:footnote w:id="22">
    <w:p w14:paraId="405C1EC5" w14:textId="0C4D6490" w:rsidR="005336DB" w:rsidRDefault="005336DB" w:rsidP="005336DB">
      <w:pPr>
        <w:pStyle w:val="FootnoteText"/>
        <w:ind w:firstLine="720"/>
      </w:pPr>
      <w:r>
        <w:rPr>
          <w:rStyle w:val="FootnoteReference"/>
        </w:rPr>
        <w:footnoteRef/>
      </w:r>
      <w:r>
        <w:t xml:space="preserve"> </w:t>
      </w:r>
      <w:r w:rsidRPr="005336DB">
        <w:t xml:space="preserve">Kathleen James-Chakraborty, “Paris in the Nineteenth Century,” in </w:t>
      </w:r>
      <w:r w:rsidRPr="005336DB">
        <w:rPr>
          <w:i/>
          <w:iCs/>
        </w:rPr>
        <w:t>Architecture since 1400</w:t>
      </w:r>
      <w:r w:rsidRPr="005336DB">
        <w:t xml:space="preserve"> (University of Minnesota Press, 2014), 2</w:t>
      </w:r>
      <w:r>
        <w:t>80</w:t>
      </w:r>
      <w:r w:rsidRPr="005336DB">
        <w:t xml:space="preserve">, </w:t>
      </w:r>
      <w:hyperlink r:id="rId4" w:history="1">
        <w:r w:rsidRPr="005336DB">
          <w:rPr>
            <w:rStyle w:val="Hyperlink"/>
          </w:rPr>
          <w:t>http://www.jstor.org/stable/10.5749/j.ctt9qh39w.22</w:t>
        </w:r>
      </w:hyperlink>
      <w:r w:rsidRPr="005336DB">
        <w:t>.</w:t>
      </w:r>
      <w:r>
        <w:t xml:space="preserve"> </w:t>
      </w:r>
    </w:p>
  </w:footnote>
  <w:footnote w:id="23">
    <w:p w14:paraId="4E89AB2F" w14:textId="257A64B8" w:rsidR="005336DB" w:rsidRDefault="005336DB" w:rsidP="005336DB">
      <w:pPr>
        <w:pStyle w:val="FootnoteText"/>
        <w:ind w:firstLine="720"/>
      </w:pPr>
      <w:r>
        <w:rPr>
          <w:rStyle w:val="FootnoteReference"/>
        </w:rPr>
        <w:footnoteRef/>
      </w:r>
      <w:r>
        <w:t xml:space="preserve"> Haine, “Café Friend,” 610.  </w:t>
      </w:r>
    </w:p>
  </w:footnote>
  <w:footnote w:id="24">
    <w:p w14:paraId="086EE1AE" w14:textId="245ABD8F" w:rsidR="005336DB" w:rsidRDefault="005336DB" w:rsidP="005336DB">
      <w:pPr>
        <w:pStyle w:val="FootnoteText"/>
        <w:ind w:firstLine="720"/>
      </w:pPr>
      <w:r>
        <w:rPr>
          <w:rStyle w:val="FootnoteReference"/>
        </w:rPr>
        <w:footnoteRef/>
      </w:r>
      <w:r>
        <w:t xml:space="preserve"> Haine, “Café Friend,” 619-620.  </w:t>
      </w:r>
    </w:p>
  </w:footnote>
  <w:footnote w:id="25">
    <w:p w14:paraId="0022D6DB" w14:textId="428D0E1C" w:rsidR="005336DB" w:rsidRDefault="005336DB" w:rsidP="005336DB">
      <w:pPr>
        <w:pStyle w:val="FootnoteText"/>
        <w:ind w:firstLine="720"/>
      </w:pPr>
      <w:r>
        <w:rPr>
          <w:rStyle w:val="FootnoteReference"/>
        </w:rPr>
        <w:footnoteRef/>
      </w:r>
      <w:r>
        <w:t xml:space="preserve"> Beaudoin, “Paris Café,” 201.  </w:t>
      </w:r>
    </w:p>
  </w:footnote>
  <w:footnote w:id="26">
    <w:p w14:paraId="30C2CFBC" w14:textId="3CD6AA2C" w:rsidR="005336DB" w:rsidRDefault="005336DB" w:rsidP="005336DB">
      <w:pPr>
        <w:pStyle w:val="FootnoteText"/>
        <w:ind w:firstLine="720"/>
      </w:pPr>
      <w:r>
        <w:rPr>
          <w:rStyle w:val="FootnoteReference"/>
        </w:rPr>
        <w:footnoteRef/>
      </w:r>
      <w:r>
        <w:t xml:space="preserve"> </w:t>
      </w:r>
      <w:r w:rsidRPr="005336DB">
        <w:t xml:space="preserve">Jerrold </w:t>
      </w:r>
      <w:r w:rsidR="0033785A">
        <w:t>Seigel</w:t>
      </w:r>
      <w:r w:rsidRPr="005336DB">
        <w:t xml:space="preserve">, “The Boundaries of Bohemia,” in </w:t>
      </w:r>
      <w:r w:rsidRPr="005336DB">
        <w:rPr>
          <w:i/>
          <w:iCs/>
        </w:rPr>
        <w:t>Bohemian Paris: Culture, Politics, and the Boundaries of Bourgeois Life, 1830-1930</w:t>
      </w:r>
      <w:r w:rsidRPr="005336DB">
        <w:t xml:space="preserve"> (Baltimore: Johns Hopkins University Press, 1986), 3–</w:t>
      </w:r>
      <w:r>
        <w:t xml:space="preserve">5. </w:t>
      </w:r>
    </w:p>
  </w:footnote>
  <w:footnote w:id="27">
    <w:p w14:paraId="1B8A5767" w14:textId="7F889617" w:rsidR="005336DB" w:rsidRDefault="005336DB" w:rsidP="005336DB">
      <w:pPr>
        <w:pStyle w:val="FootnoteText"/>
        <w:ind w:firstLine="720"/>
      </w:pPr>
      <w:r>
        <w:rPr>
          <w:rStyle w:val="FootnoteReference"/>
        </w:rPr>
        <w:footnoteRef/>
      </w:r>
      <w:r>
        <w:t xml:space="preserve"> </w:t>
      </w:r>
      <w:r w:rsidR="0033785A">
        <w:t>Seigel</w:t>
      </w:r>
      <w:r>
        <w:t xml:space="preserve">, “Bohemia,” 13.  </w:t>
      </w:r>
    </w:p>
  </w:footnote>
  <w:footnote w:id="28">
    <w:p w14:paraId="5B85942F" w14:textId="67F41BCB" w:rsidR="005336DB" w:rsidRDefault="005336DB" w:rsidP="005336DB">
      <w:pPr>
        <w:pStyle w:val="FootnoteText"/>
        <w:ind w:firstLine="720"/>
      </w:pPr>
      <w:r>
        <w:rPr>
          <w:rStyle w:val="FootnoteReference"/>
        </w:rPr>
        <w:footnoteRef/>
      </w:r>
      <w:r>
        <w:t xml:space="preserve"> </w:t>
      </w:r>
      <w:r w:rsidRPr="005336DB">
        <w:t xml:space="preserve">Elizabeth Wilson, “The Bohemianization of Mass Culture,” </w:t>
      </w:r>
      <w:r w:rsidRPr="005336DB">
        <w:rPr>
          <w:i/>
          <w:iCs/>
        </w:rPr>
        <w:t>International Journal of Cultural Studies</w:t>
      </w:r>
      <w:r w:rsidRPr="005336DB">
        <w:t xml:space="preserve"> 2, no. 1 (1999): </w:t>
      </w:r>
      <w:r>
        <w:t xml:space="preserve">12.  </w:t>
      </w:r>
    </w:p>
  </w:footnote>
  <w:footnote w:id="29">
    <w:p w14:paraId="499B24DD" w14:textId="2D2EA4CE" w:rsidR="00B34A0F" w:rsidRDefault="00B34A0F" w:rsidP="00B34A0F">
      <w:pPr>
        <w:pStyle w:val="FootnoteText"/>
        <w:ind w:firstLine="720"/>
      </w:pPr>
      <w:r>
        <w:rPr>
          <w:rStyle w:val="FootnoteReference"/>
        </w:rPr>
        <w:footnoteRef/>
      </w:r>
      <w:r>
        <w:t xml:space="preserve"> </w:t>
      </w:r>
      <w:r w:rsidRPr="00B34A0F">
        <w:t xml:space="preserve">Alfred Delvau, “Le Café Procope,” in </w:t>
      </w:r>
      <w:r w:rsidRPr="00B34A0F">
        <w:rPr>
          <w:i/>
          <w:iCs/>
        </w:rPr>
        <w:t>Histoire Anecdotique Des Cafés et Cabarets de Paris</w:t>
      </w:r>
      <w:r w:rsidRPr="00B34A0F">
        <w:t xml:space="preserve"> (Paris: E. Dentu, 1862).</w:t>
      </w:r>
      <w:r>
        <w:t xml:space="preserve"> </w:t>
      </w:r>
    </w:p>
  </w:footnote>
  <w:footnote w:id="30">
    <w:p w14:paraId="1F7624B3" w14:textId="5FF4F4F1" w:rsidR="00B34A0F" w:rsidRDefault="00B34A0F" w:rsidP="00B34A0F">
      <w:pPr>
        <w:pStyle w:val="FootnoteText"/>
        <w:ind w:firstLine="720"/>
      </w:pPr>
      <w:r>
        <w:rPr>
          <w:rStyle w:val="FootnoteReference"/>
        </w:rPr>
        <w:footnoteRef/>
      </w:r>
      <w:r>
        <w:t xml:space="preserve"> Delvau, “Procope.”  </w:t>
      </w:r>
    </w:p>
  </w:footnote>
  <w:footnote w:id="31">
    <w:p w14:paraId="54639E26" w14:textId="1836DDD4" w:rsidR="00B34A0F" w:rsidRDefault="00B34A0F" w:rsidP="00B34A0F">
      <w:pPr>
        <w:pStyle w:val="FootnoteText"/>
        <w:ind w:firstLine="720"/>
      </w:pPr>
      <w:r>
        <w:rPr>
          <w:rStyle w:val="FootnoteReference"/>
        </w:rPr>
        <w:footnoteRef/>
      </w:r>
      <w:r>
        <w:t xml:space="preserve"> </w:t>
      </w:r>
      <w:r w:rsidRPr="00B34A0F">
        <w:t xml:space="preserve">Alfred Delvau, “Le Café de La Porte-Saint-Martin,” in </w:t>
      </w:r>
      <w:r w:rsidRPr="00B34A0F">
        <w:rPr>
          <w:i/>
          <w:iCs/>
        </w:rPr>
        <w:t>Histoire Anecdotique Des Cafés et Cabarets de Paris</w:t>
      </w:r>
      <w:r w:rsidRPr="00B34A0F">
        <w:t xml:space="preserve"> (Paris: E. Dentu, 1862).</w:t>
      </w:r>
      <w:r>
        <w:t xml:space="preserve"> </w:t>
      </w:r>
    </w:p>
  </w:footnote>
  <w:footnote w:id="32">
    <w:p w14:paraId="3382E313" w14:textId="3F72EB7A" w:rsidR="00B34A0F" w:rsidRDefault="00B34A0F" w:rsidP="00B34A0F">
      <w:pPr>
        <w:pStyle w:val="FootnoteText"/>
        <w:ind w:firstLine="720"/>
      </w:pPr>
      <w:r>
        <w:rPr>
          <w:rStyle w:val="FootnoteReference"/>
        </w:rPr>
        <w:footnoteRef/>
      </w:r>
      <w:r>
        <w:t xml:space="preserve"> </w:t>
      </w:r>
      <w:r w:rsidRPr="00B34A0F">
        <w:t xml:space="preserve">Alfred Delvau, “Le Café Leblond,” in </w:t>
      </w:r>
      <w:r w:rsidRPr="00B34A0F">
        <w:rPr>
          <w:i/>
          <w:iCs/>
        </w:rPr>
        <w:t>Histoire Anecdotique Des Cafés et Cabarets de Paris</w:t>
      </w:r>
      <w:r w:rsidRPr="00B34A0F">
        <w:t xml:space="preserve"> (Paris: E. Dentu, 1862).</w:t>
      </w:r>
      <w:r>
        <w:t xml:space="preserve"> </w:t>
      </w:r>
    </w:p>
  </w:footnote>
  <w:footnote w:id="33">
    <w:p w14:paraId="3B1CE968" w14:textId="69BD2146" w:rsidR="007C4D73" w:rsidRDefault="007C4D73" w:rsidP="007C4D73">
      <w:pPr>
        <w:pStyle w:val="FootnoteText"/>
        <w:ind w:firstLine="720"/>
      </w:pPr>
      <w:r>
        <w:rPr>
          <w:rStyle w:val="FootnoteReference"/>
        </w:rPr>
        <w:footnoteRef/>
      </w:r>
      <w:r>
        <w:t xml:space="preserve"> Haine, “Café Friend,” 618.  </w:t>
      </w:r>
    </w:p>
  </w:footnote>
  <w:footnote w:id="34">
    <w:p w14:paraId="57458CDB" w14:textId="70F00A07" w:rsidR="00B34A0F" w:rsidRDefault="00B34A0F" w:rsidP="00B34A0F">
      <w:pPr>
        <w:pStyle w:val="FootnoteText"/>
        <w:ind w:firstLine="720"/>
      </w:pPr>
      <w:r>
        <w:rPr>
          <w:rStyle w:val="FootnoteReference"/>
        </w:rPr>
        <w:footnoteRef/>
      </w:r>
      <w:r>
        <w:t xml:space="preserve"> Delvau, “En Sortant.”  </w:t>
      </w:r>
    </w:p>
  </w:footnote>
  <w:footnote w:id="35">
    <w:p w14:paraId="56E5F52A" w14:textId="11F4A989" w:rsidR="00B34A0F" w:rsidRDefault="00B34A0F" w:rsidP="00B34A0F">
      <w:pPr>
        <w:pStyle w:val="FootnoteText"/>
        <w:ind w:firstLine="720"/>
      </w:pPr>
      <w:r>
        <w:t xml:space="preserve"> </w:t>
      </w:r>
      <w:r>
        <w:rPr>
          <w:rStyle w:val="FootnoteReference"/>
        </w:rPr>
        <w:footnoteRef/>
      </w:r>
      <w:r>
        <w:t xml:space="preserve"> </w:t>
      </w:r>
      <w:r w:rsidRPr="00B34A0F">
        <w:t xml:space="preserve">Alfred Delvau, “Le Café Riche,” in </w:t>
      </w:r>
      <w:r w:rsidRPr="00B34A0F">
        <w:rPr>
          <w:i/>
          <w:iCs/>
        </w:rPr>
        <w:t>Histoire Anecdotique Des Cafés et Cabarets de Paris</w:t>
      </w:r>
      <w:r w:rsidRPr="00B34A0F">
        <w:t xml:space="preserve"> (Paris: E. Dentu, 1862).</w:t>
      </w:r>
      <w:r>
        <w:t xml:space="preserve"> </w:t>
      </w:r>
    </w:p>
  </w:footnote>
  <w:footnote w:id="36">
    <w:p w14:paraId="7642DF1F" w14:textId="589F2227" w:rsidR="00B34A0F" w:rsidRDefault="00B34A0F" w:rsidP="00B34A0F">
      <w:pPr>
        <w:pStyle w:val="FootnoteText"/>
        <w:ind w:firstLine="720"/>
      </w:pPr>
      <w:r>
        <w:rPr>
          <w:rStyle w:val="FootnoteReference"/>
        </w:rPr>
        <w:footnoteRef/>
      </w:r>
      <w:r>
        <w:t xml:space="preserve"> Delvau, “Riche.” </w:t>
      </w:r>
    </w:p>
  </w:footnote>
  <w:footnote w:id="37">
    <w:p w14:paraId="4CB69353" w14:textId="11DD314D" w:rsidR="00B34A0F" w:rsidRDefault="00B34A0F" w:rsidP="00B34A0F">
      <w:pPr>
        <w:pStyle w:val="FootnoteText"/>
        <w:ind w:firstLine="720"/>
      </w:pPr>
      <w:r>
        <w:rPr>
          <w:rStyle w:val="FootnoteReference"/>
        </w:rPr>
        <w:footnoteRef/>
      </w:r>
      <w:r>
        <w:t xml:space="preserve"> </w:t>
      </w:r>
      <w:r w:rsidRPr="00B34A0F">
        <w:t xml:space="preserve">Alfred Delvau, “Le Café Racine,” in </w:t>
      </w:r>
      <w:r w:rsidRPr="00B34A0F">
        <w:rPr>
          <w:i/>
          <w:iCs/>
        </w:rPr>
        <w:t>Histoire Anecdotique Des Cafés et Cabarets de Paris</w:t>
      </w:r>
      <w:r w:rsidRPr="00B34A0F">
        <w:t xml:space="preserve"> (Paris: E. Dentu, 1862).</w:t>
      </w:r>
      <w:r>
        <w:t xml:space="preserve"> </w:t>
      </w:r>
    </w:p>
  </w:footnote>
  <w:footnote w:id="38">
    <w:p w14:paraId="76DFF609" w14:textId="49E572FB" w:rsidR="00B34A0F" w:rsidRDefault="00B34A0F" w:rsidP="00B34A0F">
      <w:pPr>
        <w:pStyle w:val="FootnoteText"/>
        <w:ind w:firstLine="720"/>
      </w:pPr>
      <w:r>
        <w:rPr>
          <w:rStyle w:val="FootnoteReference"/>
        </w:rPr>
        <w:footnoteRef/>
      </w:r>
      <w:r>
        <w:t xml:space="preserve"> </w:t>
      </w:r>
      <w:r w:rsidRPr="00B34A0F">
        <w:t xml:space="preserve">Alfred Delvau, “Le Café Minerve,” in </w:t>
      </w:r>
      <w:r w:rsidRPr="00B34A0F">
        <w:rPr>
          <w:i/>
          <w:iCs/>
        </w:rPr>
        <w:t>Histoire Anecdotique Des Cafés et Cabarets de Paris</w:t>
      </w:r>
      <w:r w:rsidRPr="00B34A0F">
        <w:t xml:space="preserve"> (Paris: E. Dentu, 1862).</w:t>
      </w:r>
      <w:r>
        <w:t xml:space="preserve"> </w:t>
      </w:r>
    </w:p>
  </w:footnote>
  <w:footnote w:id="39">
    <w:p w14:paraId="0B9DE8A4" w14:textId="6B74C086" w:rsidR="00B34A0F" w:rsidRDefault="00B34A0F" w:rsidP="00B34A0F">
      <w:pPr>
        <w:pStyle w:val="FootnoteText"/>
        <w:ind w:firstLine="720"/>
      </w:pPr>
      <w:r>
        <w:rPr>
          <w:rStyle w:val="FootnoteReference"/>
        </w:rPr>
        <w:footnoteRef/>
      </w:r>
      <w:r>
        <w:t xml:space="preserve"> </w:t>
      </w:r>
      <w:r w:rsidRPr="00B34A0F">
        <w:t xml:space="preserve">Alfred Delvau, “Le Café Tabourey,” in </w:t>
      </w:r>
      <w:r w:rsidRPr="00B34A0F">
        <w:rPr>
          <w:i/>
          <w:iCs/>
        </w:rPr>
        <w:t>Histoire Anecdotique Des Cafés et Cabarets de Paris</w:t>
      </w:r>
      <w:r w:rsidRPr="00B34A0F">
        <w:t xml:space="preserve"> (Paris: E. Dentu, 1862).</w:t>
      </w:r>
      <w:r>
        <w:t xml:space="preserve"> </w:t>
      </w:r>
    </w:p>
  </w:footnote>
  <w:footnote w:id="40">
    <w:p w14:paraId="13B22328" w14:textId="461CBAD1" w:rsidR="00B34A0F" w:rsidRDefault="00B34A0F" w:rsidP="00B34A0F">
      <w:pPr>
        <w:pStyle w:val="FootnoteText"/>
        <w:ind w:firstLine="720"/>
      </w:pPr>
      <w:r>
        <w:rPr>
          <w:rStyle w:val="FootnoteReference"/>
        </w:rPr>
        <w:footnoteRef/>
      </w:r>
      <w:r>
        <w:t xml:space="preserve"> Delvau, “Minerve.”  </w:t>
      </w:r>
    </w:p>
  </w:footnote>
  <w:footnote w:id="41">
    <w:p w14:paraId="46D3EBB8" w14:textId="2220FAFD" w:rsidR="00B34A0F" w:rsidRDefault="00B34A0F" w:rsidP="00B34A0F">
      <w:pPr>
        <w:pStyle w:val="FootnoteText"/>
        <w:ind w:firstLine="720"/>
      </w:pPr>
      <w:r>
        <w:rPr>
          <w:rStyle w:val="FootnoteReference"/>
        </w:rPr>
        <w:footnoteRef/>
      </w:r>
      <w:r>
        <w:t xml:space="preserve"> </w:t>
      </w:r>
      <w:r w:rsidRPr="00B34A0F">
        <w:t xml:space="preserve">Alfred Delvau, “Le Café Foy,” in </w:t>
      </w:r>
      <w:r w:rsidRPr="00B34A0F">
        <w:rPr>
          <w:i/>
          <w:iCs/>
        </w:rPr>
        <w:t>Histoire Anecdotique Des Cafés et Cabarets de Paris</w:t>
      </w:r>
      <w:r w:rsidRPr="00B34A0F">
        <w:t xml:space="preserve"> (Paris: E. Dentu, 1862).</w:t>
      </w:r>
      <w:r>
        <w:t xml:space="preserve"> </w:t>
      </w:r>
    </w:p>
  </w:footnote>
  <w:footnote w:id="42">
    <w:p w14:paraId="36512195" w14:textId="3A44E0DB" w:rsidR="00B34A0F" w:rsidRDefault="00B34A0F" w:rsidP="00B34A0F">
      <w:pPr>
        <w:pStyle w:val="FootnoteText"/>
        <w:ind w:firstLine="720"/>
      </w:pPr>
      <w:r>
        <w:rPr>
          <w:rStyle w:val="FootnoteReference"/>
        </w:rPr>
        <w:footnoteRef/>
      </w:r>
      <w:r>
        <w:t xml:space="preserve"> </w:t>
      </w:r>
      <w:r w:rsidRPr="00B34A0F">
        <w:t xml:space="preserve">Alfred Delvau, “Le Café Desmares,” in </w:t>
      </w:r>
      <w:r w:rsidRPr="00B34A0F">
        <w:rPr>
          <w:i/>
          <w:iCs/>
        </w:rPr>
        <w:t>Histoire Anecdotique Des Cafés et Cabarets de Paris</w:t>
      </w:r>
      <w:r w:rsidRPr="00B34A0F">
        <w:t xml:space="preserve"> (Paris: E. Dentu, 1862).</w:t>
      </w:r>
      <w:r>
        <w:t xml:space="preserve"> </w:t>
      </w:r>
    </w:p>
  </w:footnote>
  <w:footnote w:id="43">
    <w:p w14:paraId="2AA8ADBB" w14:textId="080DB45D" w:rsidR="00B34A0F" w:rsidRDefault="00B34A0F" w:rsidP="00B34A0F">
      <w:pPr>
        <w:pStyle w:val="FootnoteText"/>
        <w:ind w:firstLine="720"/>
      </w:pPr>
      <w:r>
        <w:rPr>
          <w:rStyle w:val="FootnoteReference"/>
        </w:rPr>
        <w:footnoteRef/>
      </w:r>
      <w:r>
        <w:t xml:space="preserve"> </w:t>
      </w:r>
      <w:r w:rsidRPr="00B34A0F">
        <w:t xml:space="preserve">Alfred Delvau, “Le Café Tortoni,” in </w:t>
      </w:r>
      <w:r w:rsidRPr="00B34A0F">
        <w:rPr>
          <w:i/>
          <w:iCs/>
        </w:rPr>
        <w:t>Histoire Anecdotique Des Cafés et Cabarets de Paris</w:t>
      </w:r>
      <w:r w:rsidRPr="00B34A0F">
        <w:t xml:space="preserve"> (Paris: E. Dentu, 1862).</w:t>
      </w:r>
      <w:r>
        <w:t xml:space="preserve"> </w:t>
      </w:r>
    </w:p>
  </w:footnote>
  <w:footnote w:id="44">
    <w:p w14:paraId="7CB58051" w14:textId="30DCECF9" w:rsidR="009C3457" w:rsidRDefault="009C3457" w:rsidP="009C3457">
      <w:pPr>
        <w:pStyle w:val="FootnoteText"/>
        <w:ind w:firstLine="720"/>
      </w:pPr>
      <w:r>
        <w:rPr>
          <w:rStyle w:val="FootnoteReference"/>
        </w:rPr>
        <w:footnoteRef/>
      </w:r>
      <w:r>
        <w:t xml:space="preserve"> </w:t>
      </w:r>
      <w:r w:rsidRPr="009C3457">
        <w:t xml:space="preserve">Alfred Delvau, “Le Café Regence,” in </w:t>
      </w:r>
      <w:r w:rsidRPr="009C3457">
        <w:rPr>
          <w:i/>
          <w:iCs/>
        </w:rPr>
        <w:t>Histoire Anecdotique Des Cafés et Cabarets de Paris</w:t>
      </w:r>
      <w:r w:rsidRPr="009C3457">
        <w:t xml:space="preserve"> (Paris: E. Dentu, 1862)</w:t>
      </w:r>
      <w:r>
        <w:t xml:space="preserve">. </w:t>
      </w:r>
      <w:r w:rsidRPr="009C3457">
        <w:t xml:space="preserve">Alfred Delvau, “Le Café Momus,” in </w:t>
      </w:r>
      <w:r w:rsidRPr="009C3457">
        <w:rPr>
          <w:i/>
          <w:iCs/>
        </w:rPr>
        <w:t>Histoire Anecdotique Des Cafés et Cabarets de Paris</w:t>
      </w:r>
      <w:r w:rsidRPr="009C3457">
        <w:t xml:space="preserve"> (Paris: E. Dentu, 1862).</w:t>
      </w:r>
      <w:r>
        <w:t xml:space="preserve"> </w:t>
      </w:r>
    </w:p>
  </w:footnote>
  <w:footnote w:id="45">
    <w:p w14:paraId="28A25C8F" w14:textId="3EAC191E" w:rsidR="009C3457" w:rsidRDefault="009C3457" w:rsidP="009C3457">
      <w:pPr>
        <w:pStyle w:val="FootnoteText"/>
        <w:ind w:firstLine="720"/>
      </w:pPr>
      <w:r>
        <w:rPr>
          <w:rStyle w:val="FootnoteReference"/>
        </w:rPr>
        <w:footnoteRef/>
      </w:r>
      <w:r>
        <w:t xml:space="preserve"> Delvau, “Desmares.”  </w:t>
      </w:r>
    </w:p>
  </w:footnote>
  <w:footnote w:id="46">
    <w:p w14:paraId="627A1D25" w14:textId="47882372" w:rsidR="009C3457" w:rsidRDefault="009C3457" w:rsidP="009C3457">
      <w:pPr>
        <w:pStyle w:val="FootnoteText"/>
        <w:ind w:firstLine="720"/>
      </w:pPr>
      <w:r>
        <w:rPr>
          <w:rStyle w:val="FootnoteReference"/>
        </w:rPr>
        <w:footnoteRef/>
      </w:r>
      <w:r>
        <w:t xml:space="preserve"> </w:t>
      </w:r>
      <w:r w:rsidRPr="009C3457">
        <w:t xml:space="preserve">Alfred Delvau, “Le Café Cardinal,” in </w:t>
      </w:r>
      <w:r w:rsidRPr="009C3457">
        <w:rPr>
          <w:i/>
          <w:iCs/>
        </w:rPr>
        <w:t>Histoire Anecdotique Des Cafés et Cabarets de Paris</w:t>
      </w:r>
      <w:r w:rsidRPr="009C3457">
        <w:t xml:space="preserve"> (Paris: E. Dentu, 1862).</w:t>
      </w:r>
      <w:r>
        <w:t xml:space="preserve"> </w:t>
      </w:r>
    </w:p>
  </w:footnote>
  <w:footnote w:id="47">
    <w:p w14:paraId="34DD5B78" w14:textId="1A700E05" w:rsidR="009C3457" w:rsidRDefault="009C3457" w:rsidP="009C3457">
      <w:pPr>
        <w:pStyle w:val="FootnoteText"/>
        <w:ind w:firstLine="720"/>
      </w:pPr>
      <w:r>
        <w:rPr>
          <w:rStyle w:val="FootnoteReference"/>
        </w:rPr>
        <w:footnoteRef/>
      </w:r>
      <w:r>
        <w:t xml:space="preserve"> Delvau, “Leblond.”  </w:t>
      </w:r>
    </w:p>
  </w:footnote>
  <w:footnote w:id="48">
    <w:p w14:paraId="16B68D92" w14:textId="5A6DBF2F" w:rsidR="009C3457" w:rsidRDefault="009C3457" w:rsidP="009C3457">
      <w:pPr>
        <w:pStyle w:val="FootnoteText"/>
        <w:ind w:firstLine="720"/>
      </w:pPr>
      <w:r>
        <w:rPr>
          <w:rStyle w:val="FootnoteReference"/>
        </w:rPr>
        <w:footnoteRef/>
      </w:r>
      <w:r>
        <w:t xml:space="preserve"> Delvau, “Racine.” </w:t>
      </w:r>
    </w:p>
  </w:footnote>
  <w:footnote w:id="49">
    <w:p w14:paraId="7F8A22C3" w14:textId="5DE14EB2" w:rsidR="009C3457" w:rsidRDefault="009C3457" w:rsidP="009C3457">
      <w:pPr>
        <w:pStyle w:val="FootnoteText"/>
        <w:ind w:firstLine="720"/>
      </w:pPr>
      <w:r>
        <w:rPr>
          <w:rStyle w:val="FootnoteReference"/>
        </w:rPr>
        <w:footnoteRef/>
      </w:r>
      <w:r>
        <w:t xml:space="preserve"> Delvau, “Cardinal.” </w:t>
      </w:r>
    </w:p>
  </w:footnote>
  <w:footnote w:id="50">
    <w:p w14:paraId="4BD500F8" w14:textId="32C3E601" w:rsidR="009C3457" w:rsidRDefault="009C3457" w:rsidP="009C3457">
      <w:pPr>
        <w:pStyle w:val="FootnoteText"/>
        <w:ind w:firstLine="720"/>
      </w:pPr>
      <w:r>
        <w:rPr>
          <w:rStyle w:val="FootnoteReference"/>
        </w:rPr>
        <w:footnoteRef/>
      </w:r>
      <w:r>
        <w:t xml:space="preserve"> </w:t>
      </w:r>
      <w:r w:rsidRPr="009C3457">
        <w:t xml:space="preserve">Alfred Delvau, “Le Café Des Variétés,” in </w:t>
      </w:r>
      <w:r w:rsidRPr="009C3457">
        <w:rPr>
          <w:i/>
          <w:iCs/>
        </w:rPr>
        <w:t>Histoire Anecdotique Des Cafés et Cabarets de Paris</w:t>
      </w:r>
      <w:r w:rsidRPr="009C3457">
        <w:t xml:space="preserve"> (Paris: E. Dentu, 1862).</w:t>
      </w:r>
      <w:r>
        <w:t xml:space="preserve"> </w:t>
      </w:r>
    </w:p>
  </w:footnote>
  <w:footnote w:id="51">
    <w:p w14:paraId="44F01004" w14:textId="2AD30406" w:rsidR="00201B9F" w:rsidRDefault="00201B9F" w:rsidP="00201B9F">
      <w:pPr>
        <w:pStyle w:val="FootnoteText"/>
        <w:ind w:firstLine="720"/>
      </w:pPr>
      <w:r>
        <w:rPr>
          <w:rStyle w:val="FootnoteReference"/>
        </w:rPr>
        <w:footnoteRef/>
      </w:r>
      <w:r>
        <w:t xml:space="preserve"> Delvau, “En Sortant.”  </w:t>
      </w:r>
    </w:p>
  </w:footnote>
  <w:footnote w:id="52">
    <w:p w14:paraId="795883C2" w14:textId="276096C7" w:rsidR="0038750E" w:rsidRDefault="0038750E" w:rsidP="00DB5ACD">
      <w:pPr>
        <w:pStyle w:val="FootnoteText"/>
        <w:ind w:firstLine="720"/>
      </w:pPr>
      <w:r>
        <w:rPr>
          <w:rStyle w:val="FootnoteReference"/>
        </w:rPr>
        <w:footnoteRef/>
      </w:r>
      <w:r>
        <w:t xml:space="preserve"> This idea of “orientalism” </w:t>
      </w:r>
      <w:r w:rsidR="0090375B">
        <w:t xml:space="preserve">intensified during the nineteenth century as </w:t>
      </w:r>
      <w:r>
        <w:t xml:space="preserve">Western Europe </w:t>
      </w:r>
      <w:r w:rsidR="0090375B">
        <w:t>developed a greater fascination</w:t>
      </w:r>
      <w:r>
        <w:t xml:space="preserve"> </w:t>
      </w:r>
      <w:r w:rsidR="0090375B">
        <w:t>with</w:t>
      </w:r>
      <w:r>
        <w:t xml:space="preserve"> the Middle East and East Asia</w:t>
      </w:r>
      <w:r w:rsidR="0090375B">
        <w:t xml:space="preserve">. While Western Europe typically considered themselves the “dominant” side, Delvau steers away from this perspective by portraying the East as superior. </w:t>
      </w:r>
      <w:r w:rsidR="0090375B" w:rsidRPr="0090375B">
        <w:t xml:space="preserve">Eva Martin Sartori, “Orientalism,” in </w:t>
      </w:r>
      <w:r w:rsidR="0090375B" w:rsidRPr="0090375B">
        <w:rPr>
          <w:i/>
          <w:iCs/>
        </w:rPr>
        <w:t>The Feminist Encyclopedia of French Literature</w:t>
      </w:r>
      <w:r w:rsidR="0090375B" w:rsidRPr="0090375B">
        <w:t xml:space="preserve"> (Greenwood Press, 1999), </w:t>
      </w:r>
      <w:hyperlink r:id="rId5" w:history="1">
        <w:r w:rsidR="0090375B" w:rsidRPr="0090375B">
          <w:rPr>
            <w:rStyle w:val="Hyperlink"/>
          </w:rPr>
          <w:t>link.gale.com/apps/doc/CX2890500387/GVRL?u=nclivedc&amp;sid=bookmark-GVRL&amp;xid=67022356</w:t>
        </w:r>
      </w:hyperlink>
      <w:r w:rsidR="0090375B" w:rsidRPr="0090375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885537161"/>
      <w:docPartObj>
        <w:docPartGallery w:val="Page Numbers (Top of Page)"/>
        <w:docPartUnique/>
      </w:docPartObj>
    </w:sdtPr>
    <w:sdtContent>
      <w:p w14:paraId="7DB7FA5E" w14:textId="0893B25D" w:rsidR="00B34A0F" w:rsidRDefault="00B34A0F" w:rsidP="00CC5AD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FBD278C" w14:textId="77777777" w:rsidR="00B34A0F" w:rsidRDefault="00B34A0F" w:rsidP="00B34A0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501541161"/>
      <w:docPartObj>
        <w:docPartGallery w:val="Page Numbers (Top of Page)"/>
        <w:docPartUnique/>
      </w:docPartObj>
    </w:sdtPr>
    <w:sdtContent>
      <w:p w14:paraId="42CC56C4" w14:textId="281C2453" w:rsidR="00B34A0F" w:rsidRDefault="00B34A0F" w:rsidP="00CC5AD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E08EDC4" w14:textId="77777777" w:rsidR="00B34A0F" w:rsidRDefault="00B34A0F" w:rsidP="00B34A0F">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E6815C5"/>
    <w:multiLevelType w:val="hybridMultilevel"/>
    <w:tmpl w:val="0F6C128E"/>
    <w:lvl w:ilvl="0" w:tplc="A28C5276">
      <w:start w:val="1"/>
      <w:numFmt w:val="bullet"/>
      <w:lvlText w:val="-"/>
      <w:lvlJc w:val="left"/>
      <w:pPr>
        <w:ind w:left="720" w:hanging="360"/>
      </w:pPr>
      <w:rPr>
        <w:rFonts w:ascii="Times New Roman" w:eastAsia="Batang"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88C730D"/>
    <w:multiLevelType w:val="hybridMultilevel"/>
    <w:tmpl w:val="53741D3C"/>
    <w:lvl w:ilvl="0" w:tplc="A704D0BC">
      <w:start w:val="1"/>
      <w:numFmt w:val="bullet"/>
      <w:lvlText w:val="-"/>
      <w:lvlJc w:val="left"/>
      <w:pPr>
        <w:ind w:left="720" w:hanging="360"/>
      </w:pPr>
      <w:rPr>
        <w:rFonts w:ascii="Times New Roman" w:eastAsia="Batang"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81023112">
    <w:abstractNumId w:val="0"/>
  </w:num>
  <w:num w:numId="2" w16cid:durableId="15151476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3"/>
  <w:activeWritingStyle w:appName="MSWord" w:lang="en-US"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ED1"/>
    <w:rsid w:val="000116C5"/>
    <w:rsid w:val="00020131"/>
    <w:rsid w:val="00053B18"/>
    <w:rsid w:val="000979F1"/>
    <w:rsid w:val="000A6037"/>
    <w:rsid w:val="000A7C23"/>
    <w:rsid w:val="000B417A"/>
    <w:rsid w:val="000D1ED1"/>
    <w:rsid w:val="000D5798"/>
    <w:rsid w:val="00102ACB"/>
    <w:rsid w:val="00107B2A"/>
    <w:rsid w:val="00152034"/>
    <w:rsid w:val="00152C0B"/>
    <w:rsid w:val="001804F9"/>
    <w:rsid w:val="001B21AC"/>
    <w:rsid w:val="001D76D2"/>
    <w:rsid w:val="001E569E"/>
    <w:rsid w:val="00201B9F"/>
    <w:rsid w:val="00255228"/>
    <w:rsid w:val="002834E9"/>
    <w:rsid w:val="002B265F"/>
    <w:rsid w:val="002F4741"/>
    <w:rsid w:val="003121B7"/>
    <w:rsid w:val="0033785A"/>
    <w:rsid w:val="003404CE"/>
    <w:rsid w:val="00342E30"/>
    <w:rsid w:val="00364AFB"/>
    <w:rsid w:val="00377A48"/>
    <w:rsid w:val="0038750E"/>
    <w:rsid w:val="0039610B"/>
    <w:rsid w:val="003C7753"/>
    <w:rsid w:val="003D371E"/>
    <w:rsid w:val="003D4038"/>
    <w:rsid w:val="003E7595"/>
    <w:rsid w:val="004342C6"/>
    <w:rsid w:val="00475EF9"/>
    <w:rsid w:val="004E4107"/>
    <w:rsid w:val="004E5B09"/>
    <w:rsid w:val="004F38BA"/>
    <w:rsid w:val="00530FB9"/>
    <w:rsid w:val="005336DB"/>
    <w:rsid w:val="005500E4"/>
    <w:rsid w:val="00561D10"/>
    <w:rsid w:val="00563F70"/>
    <w:rsid w:val="00595A71"/>
    <w:rsid w:val="005A2197"/>
    <w:rsid w:val="005C1FAF"/>
    <w:rsid w:val="005E4C18"/>
    <w:rsid w:val="00670BB6"/>
    <w:rsid w:val="006842A7"/>
    <w:rsid w:val="006E719D"/>
    <w:rsid w:val="00791F69"/>
    <w:rsid w:val="007A0938"/>
    <w:rsid w:val="007A15C2"/>
    <w:rsid w:val="007A690F"/>
    <w:rsid w:val="007B031D"/>
    <w:rsid w:val="007C4D73"/>
    <w:rsid w:val="007E75DE"/>
    <w:rsid w:val="008059BC"/>
    <w:rsid w:val="00813CAE"/>
    <w:rsid w:val="008673A8"/>
    <w:rsid w:val="008907E4"/>
    <w:rsid w:val="008C4743"/>
    <w:rsid w:val="008C6441"/>
    <w:rsid w:val="008E0FA9"/>
    <w:rsid w:val="008E3CBD"/>
    <w:rsid w:val="0090375B"/>
    <w:rsid w:val="00941D2F"/>
    <w:rsid w:val="00954131"/>
    <w:rsid w:val="0096642E"/>
    <w:rsid w:val="00985E49"/>
    <w:rsid w:val="00987B41"/>
    <w:rsid w:val="009A6F72"/>
    <w:rsid w:val="009B10F7"/>
    <w:rsid w:val="009B3D66"/>
    <w:rsid w:val="009C3457"/>
    <w:rsid w:val="009D73E5"/>
    <w:rsid w:val="00A36608"/>
    <w:rsid w:val="00A423A6"/>
    <w:rsid w:val="00A42A17"/>
    <w:rsid w:val="00A72C15"/>
    <w:rsid w:val="00A96FA3"/>
    <w:rsid w:val="00AA61F0"/>
    <w:rsid w:val="00AC6882"/>
    <w:rsid w:val="00AF366E"/>
    <w:rsid w:val="00B06F8F"/>
    <w:rsid w:val="00B34A0F"/>
    <w:rsid w:val="00B75EB3"/>
    <w:rsid w:val="00B825B2"/>
    <w:rsid w:val="00B90FD3"/>
    <w:rsid w:val="00BD2053"/>
    <w:rsid w:val="00BF4AB6"/>
    <w:rsid w:val="00C329A1"/>
    <w:rsid w:val="00C355EB"/>
    <w:rsid w:val="00C536FC"/>
    <w:rsid w:val="00C71AA6"/>
    <w:rsid w:val="00CC5ADF"/>
    <w:rsid w:val="00CF39CB"/>
    <w:rsid w:val="00DA297E"/>
    <w:rsid w:val="00DA6747"/>
    <w:rsid w:val="00DB5ACD"/>
    <w:rsid w:val="00E11B0E"/>
    <w:rsid w:val="00E2677D"/>
    <w:rsid w:val="00E67872"/>
    <w:rsid w:val="00ED56DD"/>
    <w:rsid w:val="00F15F33"/>
    <w:rsid w:val="00F34C56"/>
    <w:rsid w:val="00F46C99"/>
    <w:rsid w:val="00FE2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9EC85F3"/>
  <w15:chartTrackingRefBased/>
  <w15:docId w15:val="{4EA6FB1C-E550-914D-9313-1CAA03579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1E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1E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1ED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1ED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D1ED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D1ED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D1ED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D1ED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D1ED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1E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1E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1ED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1ED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D1ED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D1ED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D1ED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D1ED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D1ED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D1ED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1E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1ED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1ED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D1ED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D1ED1"/>
    <w:rPr>
      <w:i/>
      <w:iCs/>
      <w:color w:val="404040" w:themeColor="text1" w:themeTint="BF"/>
    </w:rPr>
  </w:style>
  <w:style w:type="paragraph" w:styleId="ListParagraph">
    <w:name w:val="List Paragraph"/>
    <w:basedOn w:val="Normal"/>
    <w:uiPriority w:val="34"/>
    <w:qFormat/>
    <w:rsid w:val="000D1ED1"/>
    <w:pPr>
      <w:ind w:left="720"/>
      <w:contextualSpacing/>
    </w:pPr>
  </w:style>
  <w:style w:type="character" w:styleId="IntenseEmphasis">
    <w:name w:val="Intense Emphasis"/>
    <w:basedOn w:val="DefaultParagraphFont"/>
    <w:uiPriority w:val="21"/>
    <w:qFormat/>
    <w:rsid w:val="000D1ED1"/>
    <w:rPr>
      <w:i/>
      <w:iCs/>
      <w:color w:val="0F4761" w:themeColor="accent1" w:themeShade="BF"/>
    </w:rPr>
  </w:style>
  <w:style w:type="paragraph" w:styleId="IntenseQuote">
    <w:name w:val="Intense Quote"/>
    <w:basedOn w:val="Normal"/>
    <w:next w:val="Normal"/>
    <w:link w:val="IntenseQuoteChar"/>
    <w:uiPriority w:val="30"/>
    <w:qFormat/>
    <w:rsid w:val="000D1E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1ED1"/>
    <w:rPr>
      <w:i/>
      <w:iCs/>
      <w:color w:val="0F4761" w:themeColor="accent1" w:themeShade="BF"/>
    </w:rPr>
  </w:style>
  <w:style w:type="character" w:styleId="IntenseReference">
    <w:name w:val="Intense Reference"/>
    <w:basedOn w:val="DefaultParagraphFont"/>
    <w:uiPriority w:val="32"/>
    <w:qFormat/>
    <w:rsid w:val="000D1ED1"/>
    <w:rPr>
      <w:b/>
      <w:bCs/>
      <w:smallCaps/>
      <w:color w:val="0F4761" w:themeColor="accent1" w:themeShade="BF"/>
      <w:spacing w:val="5"/>
    </w:rPr>
  </w:style>
  <w:style w:type="paragraph" w:styleId="Header">
    <w:name w:val="header"/>
    <w:basedOn w:val="Normal"/>
    <w:link w:val="HeaderChar"/>
    <w:uiPriority w:val="99"/>
    <w:unhideWhenUsed/>
    <w:rsid w:val="000D1ED1"/>
    <w:pPr>
      <w:tabs>
        <w:tab w:val="center" w:pos="4680"/>
        <w:tab w:val="right" w:pos="9360"/>
      </w:tabs>
    </w:pPr>
  </w:style>
  <w:style w:type="character" w:customStyle="1" w:styleId="HeaderChar">
    <w:name w:val="Header Char"/>
    <w:basedOn w:val="DefaultParagraphFont"/>
    <w:link w:val="Header"/>
    <w:uiPriority w:val="99"/>
    <w:rsid w:val="000D1ED1"/>
  </w:style>
  <w:style w:type="paragraph" w:styleId="Footer">
    <w:name w:val="footer"/>
    <w:basedOn w:val="Normal"/>
    <w:link w:val="FooterChar"/>
    <w:uiPriority w:val="99"/>
    <w:unhideWhenUsed/>
    <w:rsid w:val="000D1ED1"/>
    <w:pPr>
      <w:tabs>
        <w:tab w:val="center" w:pos="4680"/>
        <w:tab w:val="right" w:pos="9360"/>
      </w:tabs>
    </w:pPr>
  </w:style>
  <w:style w:type="character" w:customStyle="1" w:styleId="FooterChar">
    <w:name w:val="Footer Char"/>
    <w:basedOn w:val="DefaultParagraphFont"/>
    <w:link w:val="Footer"/>
    <w:uiPriority w:val="99"/>
    <w:rsid w:val="000D1ED1"/>
  </w:style>
  <w:style w:type="paragraph" w:styleId="FootnoteText">
    <w:name w:val="footnote text"/>
    <w:basedOn w:val="Normal"/>
    <w:link w:val="FootnoteTextChar"/>
    <w:uiPriority w:val="99"/>
    <w:semiHidden/>
    <w:unhideWhenUsed/>
    <w:rsid w:val="00595A71"/>
    <w:rPr>
      <w:sz w:val="20"/>
      <w:szCs w:val="20"/>
    </w:rPr>
  </w:style>
  <w:style w:type="character" w:customStyle="1" w:styleId="FootnoteTextChar">
    <w:name w:val="Footnote Text Char"/>
    <w:basedOn w:val="DefaultParagraphFont"/>
    <w:link w:val="FootnoteText"/>
    <w:uiPriority w:val="99"/>
    <w:semiHidden/>
    <w:rsid w:val="00595A71"/>
    <w:rPr>
      <w:sz w:val="20"/>
      <w:szCs w:val="20"/>
    </w:rPr>
  </w:style>
  <w:style w:type="character" w:styleId="FootnoteReference">
    <w:name w:val="footnote reference"/>
    <w:basedOn w:val="DefaultParagraphFont"/>
    <w:uiPriority w:val="99"/>
    <w:semiHidden/>
    <w:unhideWhenUsed/>
    <w:rsid w:val="00595A71"/>
    <w:rPr>
      <w:vertAlign w:val="superscript"/>
    </w:rPr>
  </w:style>
  <w:style w:type="character" w:styleId="Hyperlink">
    <w:name w:val="Hyperlink"/>
    <w:basedOn w:val="DefaultParagraphFont"/>
    <w:uiPriority w:val="99"/>
    <w:unhideWhenUsed/>
    <w:rsid w:val="008E3CBD"/>
    <w:rPr>
      <w:color w:val="467886" w:themeColor="hyperlink"/>
      <w:u w:val="single"/>
    </w:rPr>
  </w:style>
  <w:style w:type="character" w:styleId="UnresolvedMention">
    <w:name w:val="Unresolved Mention"/>
    <w:basedOn w:val="DefaultParagraphFont"/>
    <w:uiPriority w:val="99"/>
    <w:semiHidden/>
    <w:unhideWhenUsed/>
    <w:rsid w:val="008E3CBD"/>
    <w:rPr>
      <w:color w:val="605E5C"/>
      <w:shd w:val="clear" w:color="auto" w:fill="E1DFDD"/>
    </w:rPr>
  </w:style>
  <w:style w:type="character" w:styleId="PageNumber">
    <w:name w:val="page number"/>
    <w:basedOn w:val="DefaultParagraphFont"/>
    <w:uiPriority w:val="99"/>
    <w:semiHidden/>
    <w:unhideWhenUsed/>
    <w:rsid w:val="00B34A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6481954">
      <w:bodyDiv w:val="1"/>
      <w:marLeft w:val="0"/>
      <w:marRight w:val="0"/>
      <w:marTop w:val="0"/>
      <w:marBottom w:val="0"/>
      <w:divBdr>
        <w:top w:val="none" w:sz="0" w:space="0" w:color="auto"/>
        <w:left w:val="none" w:sz="0" w:space="0" w:color="auto"/>
        <w:bottom w:val="none" w:sz="0" w:space="0" w:color="auto"/>
        <w:right w:val="none" w:sz="0" w:space="0" w:color="auto"/>
      </w:divBdr>
      <w:divsChild>
        <w:div w:id="1708876411">
          <w:marLeft w:val="480"/>
          <w:marRight w:val="0"/>
          <w:marTop w:val="0"/>
          <w:marBottom w:val="0"/>
          <w:divBdr>
            <w:top w:val="none" w:sz="0" w:space="0" w:color="auto"/>
            <w:left w:val="none" w:sz="0" w:space="0" w:color="auto"/>
            <w:bottom w:val="none" w:sz="0" w:space="0" w:color="auto"/>
            <w:right w:val="none" w:sz="0" w:space="0" w:color="auto"/>
          </w:divBdr>
          <w:divsChild>
            <w:div w:id="940839828">
              <w:marLeft w:val="0"/>
              <w:marRight w:val="0"/>
              <w:marTop w:val="0"/>
              <w:marBottom w:val="0"/>
              <w:divBdr>
                <w:top w:val="none" w:sz="0" w:space="0" w:color="auto"/>
                <w:left w:val="none" w:sz="0" w:space="0" w:color="auto"/>
                <w:bottom w:val="none" w:sz="0" w:space="0" w:color="auto"/>
                <w:right w:val="none" w:sz="0" w:space="0" w:color="auto"/>
              </w:divBdr>
            </w:div>
            <w:div w:id="461507996">
              <w:marLeft w:val="0"/>
              <w:marRight w:val="0"/>
              <w:marTop w:val="0"/>
              <w:marBottom w:val="0"/>
              <w:divBdr>
                <w:top w:val="none" w:sz="0" w:space="0" w:color="auto"/>
                <w:left w:val="none" w:sz="0" w:space="0" w:color="auto"/>
                <w:bottom w:val="none" w:sz="0" w:space="0" w:color="auto"/>
                <w:right w:val="none" w:sz="0" w:space="0" w:color="auto"/>
              </w:divBdr>
            </w:div>
            <w:div w:id="722296202">
              <w:marLeft w:val="0"/>
              <w:marRight w:val="0"/>
              <w:marTop w:val="0"/>
              <w:marBottom w:val="0"/>
              <w:divBdr>
                <w:top w:val="none" w:sz="0" w:space="0" w:color="auto"/>
                <w:left w:val="none" w:sz="0" w:space="0" w:color="auto"/>
                <w:bottom w:val="none" w:sz="0" w:space="0" w:color="auto"/>
                <w:right w:val="none" w:sz="0" w:space="0" w:color="auto"/>
              </w:divBdr>
            </w:div>
            <w:div w:id="455178543">
              <w:marLeft w:val="0"/>
              <w:marRight w:val="0"/>
              <w:marTop w:val="0"/>
              <w:marBottom w:val="0"/>
              <w:divBdr>
                <w:top w:val="none" w:sz="0" w:space="0" w:color="auto"/>
                <w:left w:val="none" w:sz="0" w:space="0" w:color="auto"/>
                <w:bottom w:val="none" w:sz="0" w:space="0" w:color="auto"/>
                <w:right w:val="none" w:sz="0" w:space="0" w:color="auto"/>
              </w:divBdr>
            </w:div>
            <w:div w:id="952058507">
              <w:marLeft w:val="0"/>
              <w:marRight w:val="0"/>
              <w:marTop w:val="0"/>
              <w:marBottom w:val="0"/>
              <w:divBdr>
                <w:top w:val="none" w:sz="0" w:space="0" w:color="auto"/>
                <w:left w:val="none" w:sz="0" w:space="0" w:color="auto"/>
                <w:bottom w:val="none" w:sz="0" w:space="0" w:color="auto"/>
                <w:right w:val="none" w:sz="0" w:space="0" w:color="auto"/>
              </w:divBdr>
            </w:div>
            <w:div w:id="1755513098">
              <w:marLeft w:val="0"/>
              <w:marRight w:val="0"/>
              <w:marTop w:val="0"/>
              <w:marBottom w:val="0"/>
              <w:divBdr>
                <w:top w:val="none" w:sz="0" w:space="0" w:color="auto"/>
                <w:left w:val="none" w:sz="0" w:space="0" w:color="auto"/>
                <w:bottom w:val="none" w:sz="0" w:space="0" w:color="auto"/>
                <w:right w:val="none" w:sz="0" w:space="0" w:color="auto"/>
              </w:divBdr>
            </w:div>
            <w:div w:id="1654286096">
              <w:marLeft w:val="0"/>
              <w:marRight w:val="0"/>
              <w:marTop w:val="0"/>
              <w:marBottom w:val="0"/>
              <w:divBdr>
                <w:top w:val="none" w:sz="0" w:space="0" w:color="auto"/>
                <w:left w:val="none" w:sz="0" w:space="0" w:color="auto"/>
                <w:bottom w:val="none" w:sz="0" w:space="0" w:color="auto"/>
                <w:right w:val="none" w:sz="0" w:space="0" w:color="auto"/>
              </w:divBdr>
            </w:div>
            <w:div w:id="1862278956">
              <w:marLeft w:val="0"/>
              <w:marRight w:val="0"/>
              <w:marTop w:val="0"/>
              <w:marBottom w:val="0"/>
              <w:divBdr>
                <w:top w:val="none" w:sz="0" w:space="0" w:color="auto"/>
                <w:left w:val="none" w:sz="0" w:space="0" w:color="auto"/>
                <w:bottom w:val="none" w:sz="0" w:space="0" w:color="auto"/>
                <w:right w:val="none" w:sz="0" w:space="0" w:color="auto"/>
              </w:divBdr>
            </w:div>
            <w:div w:id="1773435082">
              <w:marLeft w:val="0"/>
              <w:marRight w:val="0"/>
              <w:marTop w:val="0"/>
              <w:marBottom w:val="0"/>
              <w:divBdr>
                <w:top w:val="none" w:sz="0" w:space="0" w:color="auto"/>
                <w:left w:val="none" w:sz="0" w:space="0" w:color="auto"/>
                <w:bottom w:val="none" w:sz="0" w:space="0" w:color="auto"/>
                <w:right w:val="none" w:sz="0" w:space="0" w:color="auto"/>
              </w:divBdr>
            </w:div>
            <w:div w:id="342824197">
              <w:marLeft w:val="0"/>
              <w:marRight w:val="0"/>
              <w:marTop w:val="0"/>
              <w:marBottom w:val="0"/>
              <w:divBdr>
                <w:top w:val="none" w:sz="0" w:space="0" w:color="auto"/>
                <w:left w:val="none" w:sz="0" w:space="0" w:color="auto"/>
                <w:bottom w:val="none" w:sz="0" w:space="0" w:color="auto"/>
                <w:right w:val="none" w:sz="0" w:space="0" w:color="auto"/>
              </w:divBdr>
            </w:div>
            <w:div w:id="1785229541">
              <w:marLeft w:val="0"/>
              <w:marRight w:val="0"/>
              <w:marTop w:val="0"/>
              <w:marBottom w:val="0"/>
              <w:divBdr>
                <w:top w:val="none" w:sz="0" w:space="0" w:color="auto"/>
                <w:left w:val="none" w:sz="0" w:space="0" w:color="auto"/>
                <w:bottom w:val="none" w:sz="0" w:space="0" w:color="auto"/>
                <w:right w:val="none" w:sz="0" w:space="0" w:color="auto"/>
              </w:divBdr>
            </w:div>
            <w:div w:id="406004963">
              <w:marLeft w:val="0"/>
              <w:marRight w:val="0"/>
              <w:marTop w:val="0"/>
              <w:marBottom w:val="0"/>
              <w:divBdr>
                <w:top w:val="none" w:sz="0" w:space="0" w:color="auto"/>
                <w:left w:val="none" w:sz="0" w:space="0" w:color="auto"/>
                <w:bottom w:val="none" w:sz="0" w:space="0" w:color="auto"/>
                <w:right w:val="none" w:sz="0" w:space="0" w:color="auto"/>
              </w:divBdr>
            </w:div>
            <w:div w:id="609750538">
              <w:marLeft w:val="0"/>
              <w:marRight w:val="0"/>
              <w:marTop w:val="0"/>
              <w:marBottom w:val="0"/>
              <w:divBdr>
                <w:top w:val="none" w:sz="0" w:space="0" w:color="auto"/>
                <w:left w:val="none" w:sz="0" w:space="0" w:color="auto"/>
                <w:bottom w:val="none" w:sz="0" w:space="0" w:color="auto"/>
                <w:right w:val="none" w:sz="0" w:space="0" w:color="auto"/>
              </w:divBdr>
            </w:div>
            <w:div w:id="583956383">
              <w:marLeft w:val="0"/>
              <w:marRight w:val="0"/>
              <w:marTop w:val="0"/>
              <w:marBottom w:val="0"/>
              <w:divBdr>
                <w:top w:val="none" w:sz="0" w:space="0" w:color="auto"/>
                <w:left w:val="none" w:sz="0" w:space="0" w:color="auto"/>
                <w:bottom w:val="none" w:sz="0" w:space="0" w:color="auto"/>
                <w:right w:val="none" w:sz="0" w:space="0" w:color="auto"/>
              </w:divBdr>
            </w:div>
            <w:div w:id="1082071632">
              <w:marLeft w:val="0"/>
              <w:marRight w:val="0"/>
              <w:marTop w:val="0"/>
              <w:marBottom w:val="0"/>
              <w:divBdr>
                <w:top w:val="none" w:sz="0" w:space="0" w:color="auto"/>
                <w:left w:val="none" w:sz="0" w:space="0" w:color="auto"/>
                <w:bottom w:val="none" w:sz="0" w:space="0" w:color="auto"/>
                <w:right w:val="none" w:sz="0" w:space="0" w:color="auto"/>
              </w:divBdr>
            </w:div>
            <w:div w:id="268054320">
              <w:marLeft w:val="0"/>
              <w:marRight w:val="0"/>
              <w:marTop w:val="0"/>
              <w:marBottom w:val="0"/>
              <w:divBdr>
                <w:top w:val="none" w:sz="0" w:space="0" w:color="auto"/>
                <w:left w:val="none" w:sz="0" w:space="0" w:color="auto"/>
                <w:bottom w:val="none" w:sz="0" w:space="0" w:color="auto"/>
                <w:right w:val="none" w:sz="0" w:space="0" w:color="auto"/>
              </w:divBdr>
            </w:div>
            <w:div w:id="1354264711">
              <w:marLeft w:val="0"/>
              <w:marRight w:val="0"/>
              <w:marTop w:val="0"/>
              <w:marBottom w:val="0"/>
              <w:divBdr>
                <w:top w:val="none" w:sz="0" w:space="0" w:color="auto"/>
                <w:left w:val="none" w:sz="0" w:space="0" w:color="auto"/>
                <w:bottom w:val="none" w:sz="0" w:space="0" w:color="auto"/>
                <w:right w:val="none" w:sz="0" w:space="0" w:color="auto"/>
              </w:divBdr>
            </w:div>
            <w:div w:id="551500652">
              <w:marLeft w:val="0"/>
              <w:marRight w:val="0"/>
              <w:marTop w:val="0"/>
              <w:marBottom w:val="0"/>
              <w:divBdr>
                <w:top w:val="none" w:sz="0" w:space="0" w:color="auto"/>
                <w:left w:val="none" w:sz="0" w:space="0" w:color="auto"/>
                <w:bottom w:val="none" w:sz="0" w:space="0" w:color="auto"/>
                <w:right w:val="none" w:sz="0" w:space="0" w:color="auto"/>
              </w:divBdr>
            </w:div>
            <w:div w:id="1011878367">
              <w:marLeft w:val="0"/>
              <w:marRight w:val="0"/>
              <w:marTop w:val="0"/>
              <w:marBottom w:val="0"/>
              <w:divBdr>
                <w:top w:val="none" w:sz="0" w:space="0" w:color="auto"/>
                <w:left w:val="none" w:sz="0" w:space="0" w:color="auto"/>
                <w:bottom w:val="none" w:sz="0" w:space="0" w:color="auto"/>
                <w:right w:val="none" w:sz="0" w:space="0" w:color="auto"/>
              </w:divBdr>
            </w:div>
            <w:div w:id="707680666">
              <w:marLeft w:val="0"/>
              <w:marRight w:val="0"/>
              <w:marTop w:val="0"/>
              <w:marBottom w:val="0"/>
              <w:divBdr>
                <w:top w:val="none" w:sz="0" w:space="0" w:color="auto"/>
                <w:left w:val="none" w:sz="0" w:space="0" w:color="auto"/>
                <w:bottom w:val="none" w:sz="0" w:space="0" w:color="auto"/>
                <w:right w:val="none" w:sz="0" w:space="0" w:color="auto"/>
              </w:divBdr>
            </w:div>
            <w:div w:id="449204112">
              <w:marLeft w:val="0"/>
              <w:marRight w:val="0"/>
              <w:marTop w:val="0"/>
              <w:marBottom w:val="0"/>
              <w:divBdr>
                <w:top w:val="none" w:sz="0" w:space="0" w:color="auto"/>
                <w:left w:val="none" w:sz="0" w:space="0" w:color="auto"/>
                <w:bottom w:val="none" w:sz="0" w:space="0" w:color="auto"/>
                <w:right w:val="none" w:sz="0" w:space="0" w:color="auto"/>
              </w:divBdr>
            </w:div>
            <w:div w:id="1452751288">
              <w:marLeft w:val="0"/>
              <w:marRight w:val="0"/>
              <w:marTop w:val="0"/>
              <w:marBottom w:val="0"/>
              <w:divBdr>
                <w:top w:val="none" w:sz="0" w:space="0" w:color="auto"/>
                <w:left w:val="none" w:sz="0" w:space="0" w:color="auto"/>
                <w:bottom w:val="none" w:sz="0" w:space="0" w:color="auto"/>
                <w:right w:val="none" w:sz="0" w:space="0" w:color="auto"/>
              </w:divBdr>
            </w:div>
            <w:div w:id="1669938996">
              <w:marLeft w:val="0"/>
              <w:marRight w:val="0"/>
              <w:marTop w:val="0"/>
              <w:marBottom w:val="0"/>
              <w:divBdr>
                <w:top w:val="none" w:sz="0" w:space="0" w:color="auto"/>
                <w:left w:val="none" w:sz="0" w:space="0" w:color="auto"/>
                <w:bottom w:val="none" w:sz="0" w:space="0" w:color="auto"/>
                <w:right w:val="none" w:sz="0" w:space="0" w:color="auto"/>
              </w:divBdr>
            </w:div>
            <w:div w:id="1058169281">
              <w:marLeft w:val="0"/>
              <w:marRight w:val="0"/>
              <w:marTop w:val="0"/>
              <w:marBottom w:val="0"/>
              <w:divBdr>
                <w:top w:val="none" w:sz="0" w:space="0" w:color="auto"/>
                <w:left w:val="none" w:sz="0" w:space="0" w:color="auto"/>
                <w:bottom w:val="none" w:sz="0" w:space="0" w:color="auto"/>
                <w:right w:val="none" w:sz="0" w:space="0" w:color="auto"/>
              </w:divBdr>
            </w:div>
            <w:div w:id="1540045105">
              <w:marLeft w:val="0"/>
              <w:marRight w:val="0"/>
              <w:marTop w:val="0"/>
              <w:marBottom w:val="0"/>
              <w:divBdr>
                <w:top w:val="none" w:sz="0" w:space="0" w:color="auto"/>
                <w:left w:val="none" w:sz="0" w:space="0" w:color="auto"/>
                <w:bottom w:val="none" w:sz="0" w:space="0" w:color="auto"/>
                <w:right w:val="none" w:sz="0" w:space="0" w:color="auto"/>
              </w:divBdr>
            </w:div>
            <w:div w:id="571894870">
              <w:marLeft w:val="0"/>
              <w:marRight w:val="0"/>
              <w:marTop w:val="0"/>
              <w:marBottom w:val="0"/>
              <w:divBdr>
                <w:top w:val="none" w:sz="0" w:space="0" w:color="auto"/>
                <w:left w:val="none" w:sz="0" w:space="0" w:color="auto"/>
                <w:bottom w:val="none" w:sz="0" w:space="0" w:color="auto"/>
                <w:right w:val="none" w:sz="0" w:space="0" w:color="auto"/>
              </w:divBdr>
            </w:div>
            <w:div w:id="1209104129">
              <w:marLeft w:val="0"/>
              <w:marRight w:val="0"/>
              <w:marTop w:val="0"/>
              <w:marBottom w:val="0"/>
              <w:divBdr>
                <w:top w:val="none" w:sz="0" w:space="0" w:color="auto"/>
                <w:left w:val="none" w:sz="0" w:space="0" w:color="auto"/>
                <w:bottom w:val="none" w:sz="0" w:space="0" w:color="auto"/>
                <w:right w:val="none" w:sz="0" w:space="0" w:color="auto"/>
              </w:divBdr>
            </w:div>
            <w:div w:id="479612714">
              <w:marLeft w:val="0"/>
              <w:marRight w:val="0"/>
              <w:marTop w:val="0"/>
              <w:marBottom w:val="0"/>
              <w:divBdr>
                <w:top w:val="none" w:sz="0" w:space="0" w:color="auto"/>
                <w:left w:val="none" w:sz="0" w:space="0" w:color="auto"/>
                <w:bottom w:val="none" w:sz="0" w:space="0" w:color="auto"/>
                <w:right w:val="none" w:sz="0" w:space="0" w:color="auto"/>
              </w:divBdr>
            </w:div>
            <w:div w:id="635381526">
              <w:marLeft w:val="0"/>
              <w:marRight w:val="0"/>
              <w:marTop w:val="0"/>
              <w:marBottom w:val="0"/>
              <w:divBdr>
                <w:top w:val="none" w:sz="0" w:space="0" w:color="auto"/>
                <w:left w:val="none" w:sz="0" w:space="0" w:color="auto"/>
                <w:bottom w:val="none" w:sz="0" w:space="0" w:color="auto"/>
                <w:right w:val="none" w:sz="0" w:space="0" w:color="auto"/>
              </w:divBdr>
            </w:div>
            <w:div w:id="319622887">
              <w:marLeft w:val="0"/>
              <w:marRight w:val="0"/>
              <w:marTop w:val="0"/>
              <w:marBottom w:val="0"/>
              <w:divBdr>
                <w:top w:val="none" w:sz="0" w:space="0" w:color="auto"/>
                <w:left w:val="none" w:sz="0" w:space="0" w:color="auto"/>
                <w:bottom w:val="none" w:sz="0" w:space="0" w:color="auto"/>
                <w:right w:val="none" w:sz="0" w:space="0" w:color="auto"/>
              </w:divBdr>
            </w:div>
            <w:div w:id="845751863">
              <w:marLeft w:val="0"/>
              <w:marRight w:val="0"/>
              <w:marTop w:val="0"/>
              <w:marBottom w:val="0"/>
              <w:divBdr>
                <w:top w:val="none" w:sz="0" w:space="0" w:color="auto"/>
                <w:left w:val="none" w:sz="0" w:space="0" w:color="auto"/>
                <w:bottom w:val="none" w:sz="0" w:space="0" w:color="auto"/>
                <w:right w:val="none" w:sz="0" w:space="0" w:color="auto"/>
              </w:divBdr>
            </w:div>
            <w:div w:id="38071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377199">
      <w:bodyDiv w:val="1"/>
      <w:marLeft w:val="0"/>
      <w:marRight w:val="0"/>
      <w:marTop w:val="0"/>
      <w:marBottom w:val="0"/>
      <w:divBdr>
        <w:top w:val="none" w:sz="0" w:space="0" w:color="auto"/>
        <w:left w:val="none" w:sz="0" w:space="0" w:color="auto"/>
        <w:bottom w:val="none" w:sz="0" w:space="0" w:color="auto"/>
        <w:right w:val="none" w:sz="0" w:space="0" w:color="auto"/>
      </w:divBdr>
      <w:divsChild>
        <w:div w:id="993799146">
          <w:marLeft w:val="480"/>
          <w:marRight w:val="0"/>
          <w:marTop w:val="0"/>
          <w:marBottom w:val="0"/>
          <w:divBdr>
            <w:top w:val="none" w:sz="0" w:space="0" w:color="auto"/>
            <w:left w:val="none" w:sz="0" w:space="0" w:color="auto"/>
            <w:bottom w:val="none" w:sz="0" w:space="0" w:color="auto"/>
            <w:right w:val="none" w:sz="0" w:space="0" w:color="auto"/>
          </w:divBdr>
          <w:divsChild>
            <w:div w:id="1968929780">
              <w:marLeft w:val="0"/>
              <w:marRight w:val="0"/>
              <w:marTop w:val="0"/>
              <w:marBottom w:val="0"/>
              <w:divBdr>
                <w:top w:val="none" w:sz="0" w:space="0" w:color="auto"/>
                <w:left w:val="none" w:sz="0" w:space="0" w:color="auto"/>
                <w:bottom w:val="none" w:sz="0" w:space="0" w:color="auto"/>
                <w:right w:val="none" w:sz="0" w:space="0" w:color="auto"/>
              </w:divBdr>
            </w:div>
            <w:div w:id="2114786254">
              <w:marLeft w:val="0"/>
              <w:marRight w:val="0"/>
              <w:marTop w:val="0"/>
              <w:marBottom w:val="0"/>
              <w:divBdr>
                <w:top w:val="none" w:sz="0" w:space="0" w:color="auto"/>
                <w:left w:val="none" w:sz="0" w:space="0" w:color="auto"/>
                <w:bottom w:val="none" w:sz="0" w:space="0" w:color="auto"/>
                <w:right w:val="none" w:sz="0" w:space="0" w:color="auto"/>
              </w:divBdr>
            </w:div>
            <w:div w:id="1157456710">
              <w:marLeft w:val="0"/>
              <w:marRight w:val="0"/>
              <w:marTop w:val="0"/>
              <w:marBottom w:val="0"/>
              <w:divBdr>
                <w:top w:val="none" w:sz="0" w:space="0" w:color="auto"/>
                <w:left w:val="none" w:sz="0" w:space="0" w:color="auto"/>
                <w:bottom w:val="none" w:sz="0" w:space="0" w:color="auto"/>
                <w:right w:val="none" w:sz="0" w:space="0" w:color="auto"/>
              </w:divBdr>
            </w:div>
            <w:div w:id="271131189">
              <w:marLeft w:val="0"/>
              <w:marRight w:val="0"/>
              <w:marTop w:val="0"/>
              <w:marBottom w:val="0"/>
              <w:divBdr>
                <w:top w:val="none" w:sz="0" w:space="0" w:color="auto"/>
                <w:left w:val="none" w:sz="0" w:space="0" w:color="auto"/>
                <w:bottom w:val="none" w:sz="0" w:space="0" w:color="auto"/>
                <w:right w:val="none" w:sz="0" w:space="0" w:color="auto"/>
              </w:divBdr>
            </w:div>
            <w:div w:id="1374038750">
              <w:marLeft w:val="0"/>
              <w:marRight w:val="0"/>
              <w:marTop w:val="0"/>
              <w:marBottom w:val="0"/>
              <w:divBdr>
                <w:top w:val="none" w:sz="0" w:space="0" w:color="auto"/>
                <w:left w:val="none" w:sz="0" w:space="0" w:color="auto"/>
                <w:bottom w:val="none" w:sz="0" w:space="0" w:color="auto"/>
                <w:right w:val="none" w:sz="0" w:space="0" w:color="auto"/>
              </w:divBdr>
            </w:div>
            <w:div w:id="575670190">
              <w:marLeft w:val="0"/>
              <w:marRight w:val="0"/>
              <w:marTop w:val="0"/>
              <w:marBottom w:val="0"/>
              <w:divBdr>
                <w:top w:val="none" w:sz="0" w:space="0" w:color="auto"/>
                <w:left w:val="none" w:sz="0" w:space="0" w:color="auto"/>
                <w:bottom w:val="none" w:sz="0" w:space="0" w:color="auto"/>
                <w:right w:val="none" w:sz="0" w:space="0" w:color="auto"/>
              </w:divBdr>
            </w:div>
            <w:div w:id="420956013">
              <w:marLeft w:val="0"/>
              <w:marRight w:val="0"/>
              <w:marTop w:val="0"/>
              <w:marBottom w:val="0"/>
              <w:divBdr>
                <w:top w:val="none" w:sz="0" w:space="0" w:color="auto"/>
                <w:left w:val="none" w:sz="0" w:space="0" w:color="auto"/>
                <w:bottom w:val="none" w:sz="0" w:space="0" w:color="auto"/>
                <w:right w:val="none" w:sz="0" w:space="0" w:color="auto"/>
              </w:divBdr>
            </w:div>
            <w:div w:id="1319074206">
              <w:marLeft w:val="0"/>
              <w:marRight w:val="0"/>
              <w:marTop w:val="0"/>
              <w:marBottom w:val="0"/>
              <w:divBdr>
                <w:top w:val="none" w:sz="0" w:space="0" w:color="auto"/>
                <w:left w:val="none" w:sz="0" w:space="0" w:color="auto"/>
                <w:bottom w:val="none" w:sz="0" w:space="0" w:color="auto"/>
                <w:right w:val="none" w:sz="0" w:space="0" w:color="auto"/>
              </w:divBdr>
            </w:div>
            <w:div w:id="1081026439">
              <w:marLeft w:val="0"/>
              <w:marRight w:val="0"/>
              <w:marTop w:val="0"/>
              <w:marBottom w:val="0"/>
              <w:divBdr>
                <w:top w:val="none" w:sz="0" w:space="0" w:color="auto"/>
                <w:left w:val="none" w:sz="0" w:space="0" w:color="auto"/>
                <w:bottom w:val="none" w:sz="0" w:space="0" w:color="auto"/>
                <w:right w:val="none" w:sz="0" w:space="0" w:color="auto"/>
              </w:divBdr>
            </w:div>
            <w:div w:id="2041121052">
              <w:marLeft w:val="0"/>
              <w:marRight w:val="0"/>
              <w:marTop w:val="0"/>
              <w:marBottom w:val="0"/>
              <w:divBdr>
                <w:top w:val="none" w:sz="0" w:space="0" w:color="auto"/>
                <w:left w:val="none" w:sz="0" w:space="0" w:color="auto"/>
                <w:bottom w:val="none" w:sz="0" w:space="0" w:color="auto"/>
                <w:right w:val="none" w:sz="0" w:space="0" w:color="auto"/>
              </w:divBdr>
            </w:div>
            <w:div w:id="2042824916">
              <w:marLeft w:val="0"/>
              <w:marRight w:val="0"/>
              <w:marTop w:val="0"/>
              <w:marBottom w:val="0"/>
              <w:divBdr>
                <w:top w:val="none" w:sz="0" w:space="0" w:color="auto"/>
                <w:left w:val="none" w:sz="0" w:space="0" w:color="auto"/>
                <w:bottom w:val="none" w:sz="0" w:space="0" w:color="auto"/>
                <w:right w:val="none" w:sz="0" w:space="0" w:color="auto"/>
              </w:divBdr>
            </w:div>
            <w:div w:id="835146560">
              <w:marLeft w:val="0"/>
              <w:marRight w:val="0"/>
              <w:marTop w:val="0"/>
              <w:marBottom w:val="0"/>
              <w:divBdr>
                <w:top w:val="none" w:sz="0" w:space="0" w:color="auto"/>
                <w:left w:val="none" w:sz="0" w:space="0" w:color="auto"/>
                <w:bottom w:val="none" w:sz="0" w:space="0" w:color="auto"/>
                <w:right w:val="none" w:sz="0" w:space="0" w:color="auto"/>
              </w:divBdr>
            </w:div>
            <w:div w:id="1672947634">
              <w:marLeft w:val="0"/>
              <w:marRight w:val="0"/>
              <w:marTop w:val="0"/>
              <w:marBottom w:val="0"/>
              <w:divBdr>
                <w:top w:val="none" w:sz="0" w:space="0" w:color="auto"/>
                <w:left w:val="none" w:sz="0" w:space="0" w:color="auto"/>
                <w:bottom w:val="none" w:sz="0" w:space="0" w:color="auto"/>
                <w:right w:val="none" w:sz="0" w:space="0" w:color="auto"/>
              </w:divBdr>
            </w:div>
            <w:div w:id="2090150740">
              <w:marLeft w:val="0"/>
              <w:marRight w:val="0"/>
              <w:marTop w:val="0"/>
              <w:marBottom w:val="0"/>
              <w:divBdr>
                <w:top w:val="none" w:sz="0" w:space="0" w:color="auto"/>
                <w:left w:val="none" w:sz="0" w:space="0" w:color="auto"/>
                <w:bottom w:val="none" w:sz="0" w:space="0" w:color="auto"/>
                <w:right w:val="none" w:sz="0" w:space="0" w:color="auto"/>
              </w:divBdr>
            </w:div>
            <w:div w:id="1565599234">
              <w:marLeft w:val="0"/>
              <w:marRight w:val="0"/>
              <w:marTop w:val="0"/>
              <w:marBottom w:val="0"/>
              <w:divBdr>
                <w:top w:val="none" w:sz="0" w:space="0" w:color="auto"/>
                <w:left w:val="none" w:sz="0" w:space="0" w:color="auto"/>
                <w:bottom w:val="none" w:sz="0" w:space="0" w:color="auto"/>
                <w:right w:val="none" w:sz="0" w:space="0" w:color="auto"/>
              </w:divBdr>
            </w:div>
            <w:div w:id="960458511">
              <w:marLeft w:val="0"/>
              <w:marRight w:val="0"/>
              <w:marTop w:val="0"/>
              <w:marBottom w:val="0"/>
              <w:divBdr>
                <w:top w:val="none" w:sz="0" w:space="0" w:color="auto"/>
                <w:left w:val="none" w:sz="0" w:space="0" w:color="auto"/>
                <w:bottom w:val="none" w:sz="0" w:space="0" w:color="auto"/>
                <w:right w:val="none" w:sz="0" w:space="0" w:color="auto"/>
              </w:divBdr>
            </w:div>
            <w:div w:id="830289393">
              <w:marLeft w:val="0"/>
              <w:marRight w:val="0"/>
              <w:marTop w:val="0"/>
              <w:marBottom w:val="0"/>
              <w:divBdr>
                <w:top w:val="none" w:sz="0" w:space="0" w:color="auto"/>
                <w:left w:val="none" w:sz="0" w:space="0" w:color="auto"/>
                <w:bottom w:val="none" w:sz="0" w:space="0" w:color="auto"/>
                <w:right w:val="none" w:sz="0" w:space="0" w:color="auto"/>
              </w:divBdr>
            </w:div>
            <w:div w:id="1744373092">
              <w:marLeft w:val="0"/>
              <w:marRight w:val="0"/>
              <w:marTop w:val="0"/>
              <w:marBottom w:val="0"/>
              <w:divBdr>
                <w:top w:val="none" w:sz="0" w:space="0" w:color="auto"/>
                <w:left w:val="none" w:sz="0" w:space="0" w:color="auto"/>
                <w:bottom w:val="none" w:sz="0" w:space="0" w:color="auto"/>
                <w:right w:val="none" w:sz="0" w:space="0" w:color="auto"/>
              </w:divBdr>
            </w:div>
            <w:div w:id="1136874916">
              <w:marLeft w:val="0"/>
              <w:marRight w:val="0"/>
              <w:marTop w:val="0"/>
              <w:marBottom w:val="0"/>
              <w:divBdr>
                <w:top w:val="none" w:sz="0" w:space="0" w:color="auto"/>
                <w:left w:val="none" w:sz="0" w:space="0" w:color="auto"/>
                <w:bottom w:val="none" w:sz="0" w:space="0" w:color="auto"/>
                <w:right w:val="none" w:sz="0" w:space="0" w:color="auto"/>
              </w:divBdr>
            </w:div>
            <w:div w:id="290937596">
              <w:marLeft w:val="0"/>
              <w:marRight w:val="0"/>
              <w:marTop w:val="0"/>
              <w:marBottom w:val="0"/>
              <w:divBdr>
                <w:top w:val="none" w:sz="0" w:space="0" w:color="auto"/>
                <w:left w:val="none" w:sz="0" w:space="0" w:color="auto"/>
                <w:bottom w:val="none" w:sz="0" w:space="0" w:color="auto"/>
                <w:right w:val="none" w:sz="0" w:space="0" w:color="auto"/>
              </w:divBdr>
            </w:div>
            <w:div w:id="170461023">
              <w:marLeft w:val="0"/>
              <w:marRight w:val="0"/>
              <w:marTop w:val="0"/>
              <w:marBottom w:val="0"/>
              <w:divBdr>
                <w:top w:val="none" w:sz="0" w:space="0" w:color="auto"/>
                <w:left w:val="none" w:sz="0" w:space="0" w:color="auto"/>
                <w:bottom w:val="none" w:sz="0" w:space="0" w:color="auto"/>
                <w:right w:val="none" w:sz="0" w:space="0" w:color="auto"/>
              </w:divBdr>
            </w:div>
            <w:div w:id="1489051030">
              <w:marLeft w:val="0"/>
              <w:marRight w:val="0"/>
              <w:marTop w:val="0"/>
              <w:marBottom w:val="0"/>
              <w:divBdr>
                <w:top w:val="none" w:sz="0" w:space="0" w:color="auto"/>
                <w:left w:val="none" w:sz="0" w:space="0" w:color="auto"/>
                <w:bottom w:val="none" w:sz="0" w:space="0" w:color="auto"/>
                <w:right w:val="none" w:sz="0" w:space="0" w:color="auto"/>
              </w:divBdr>
            </w:div>
            <w:div w:id="89862999">
              <w:marLeft w:val="0"/>
              <w:marRight w:val="0"/>
              <w:marTop w:val="0"/>
              <w:marBottom w:val="0"/>
              <w:divBdr>
                <w:top w:val="none" w:sz="0" w:space="0" w:color="auto"/>
                <w:left w:val="none" w:sz="0" w:space="0" w:color="auto"/>
                <w:bottom w:val="none" w:sz="0" w:space="0" w:color="auto"/>
                <w:right w:val="none" w:sz="0" w:space="0" w:color="auto"/>
              </w:divBdr>
            </w:div>
            <w:div w:id="781072956">
              <w:marLeft w:val="0"/>
              <w:marRight w:val="0"/>
              <w:marTop w:val="0"/>
              <w:marBottom w:val="0"/>
              <w:divBdr>
                <w:top w:val="none" w:sz="0" w:space="0" w:color="auto"/>
                <w:left w:val="none" w:sz="0" w:space="0" w:color="auto"/>
                <w:bottom w:val="none" w:sz="0" w:space="0" w:color="auto"/>
                <w:right w:val="none" w:sz="0" w:space="0" w:color="auto"/>
              </w:divBdr>
            </w:div>
            <w:div w:id="743144222">
              <w:marLeft w:val="0"/>
              <w:marRight w:val="0"/>
              <w:marTop w:val="0"/>
              <w:marBottom w:val="0"/>
              <w:divBdr>
                <w:top w:val="none" w:sz="0" w:space="0" w:color="auto"/>
                <w:left w:val="none" w:sz="0" w:space="0" w:color="auto"/>
                <w:bottom w:val="none" w:sz="0" w:space="0" w:color="auto"/>
                <w:right w:val="none" w:sz="0" w:space="0" w:color="auto"/>
              </w:divBdr>
            </w:div>
            <w:div w:id="1624769427">
              <w:marLeft w:val="0"/>
              <w:marRight w:val="0"/>
              <w:marTop w:val="0"/>
              <w:marBottom w:val="0"/>
              <w:divBdr>
                <w:top w:val="none" w:sz="0" w:space="0" w:color="auto"/>
                <w:left w:val="none" w:sz="0" w:space="0" w:color="auto"/>
                <w:bottom w:val="none" w:sz="0" w:space="0" w:color="auto"/>
                <w:right w:val="none" w:sz="0" w:space="0" w:color="auto"/>
              </w:divBdr>
            </w:div>
            <w:div w:id="920409096">
              <w:marLeft w:val="0"/>
              <w:marRight w:val="0"/>
              <w:marTop w:val="0"/>
              <w:marBottom w:val="0"/>
              <w:divBdr>
                <w:top w:val="none" w:sz="0" w:space="0" w:color="auto"/>
                <w:left w:val="none" w:sz="0" w:space="0" w:color="auto"/>
                <w:bottom w:val="none" w:sz="0" w:space="0" w:color="auto"/>
                <w:right w:val="none" w:sz="0" w:space="0" w:color="auto"/>
              </w:divBdr>
            </w:div>
            <w:div w:id="1356612542">
              <w:marLeft w:val="0"/>
              <w:marRight w:val="0"/>
              <w:marTop w:val="0"/>
              <w:marBottom w:val="0"/>
              <w:divBdr>
                <w:top w:val="none" w:sz="0" w:space="0" w:color="auto"/>
                <w:left w:val="none" w:sz="0" w:space="0" w:color="auto"/>
                <w:bottom w:val="none" w:sz="0" w:space="0" w:color="auto"/>
                <w:right w:val="none" w:sz="0" w:space="0" w:color="auto"/>
              </w:divBdr>
            </w:div>
            <w:div w:id="1647202052">
              <w:marLeft w:val="0"/>
              <w:marRight w:val="0"/>
              <w:marTop w:val="0"/>
              <w:marBottom w:val="0"/>
              <w:divBdr>
                <w:top w:val="none" w:sz="0" w:space="0" w:color="auto"/>
                <w:left w:val="none" w:sz="0" w:space="0" w:color="auto"/>
                <w:bottom w:val="none" w:sz="0" w:space="0" w:color="auto"/>
                <w:right w:val="none" w:sz="0" w:space="0" w:color="auto"/>
              </w:divBdr>
            </w:div>
            <w:div w:id="1532646259">
              <w:marLeft w:val="0"/>
              <w:marRight w:val="0"/>
              <w:marTop w:val="0"/>
              <w:marBottom w:val="0"/>
              <w:divBdr>
                <w:top w:val="none" w:sz="0" w:space="0" w:color="auto"/>
                <w:left w:val="none" w:sz="0" w:space="0" w:color="auto"/>
                <w:bottom w:val="none" w:sz="0" w:space="0" w:color="auto"/>
                <w:right w:val="none" w:sz="0" w:space="0" w:color="auto"/>
              </w:divBdr>
            </w:div>
            <w:div w:id="155348126">
              <w:marLeft w:val="0"/>
              <w:marRight w:val="0"/>
              <w:marTop w:val="0"/>
              <w:marBottom w:val="0"/>
              <w:divBdr>
                <w:top w:val="none" w:sz="0" w:space="0" w:color="auto"/>
                <w:left w:val="none" w:sz="0" w:space="0" w:color="auto"/>
                <w:bottom w:val="none" w:sz="0" w:space="0" w:color="auto"/>
                <w:right w:val="none" w:sz="0" w:space="0" w:color="auto"/>
              </w:divBdr>
            </w:div>
            <w:div w:id="33161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679795">
      <w:bodyDiv w:val="1"/>
      <w:marLeft w:val="0"/>
      <w:marRight w:val="0"/>
      <w:marTop w:val="0"/>
      <w:marBottom w:val="0"/>
      <w:divBdr>
        <w:top w:val="none" w:sz="0" w:space="0" w:color="auto"/>
        <w:left w:val="none" w:sz="0" w:space="0" w:color="auto"/>
        <w:bottom w:val="none" w:sz="0" w:space="0" w:color="auto"/>
        <w:right w:val="none" w:sz="0" w:space="0" w:color="auto"/>
      </w:divBdr>
      <w:divsChild>
        <w:div w:id="1523126500">
          <w:marLeft w:val="480"/>
          <w:marRight w:val="0"/>
          <w:marTop w:val="0"/>
          <w:marBottom w:val="0"/>
          <w:divBdr>
            <w:top w:val="none" w:sz="0" w:space="0" w:color="auto"/>
            <w:left w:val="none" w:sz="0" w:space="0" w:color="auto"/>
            <w:bottom w:val="none" w:sz="0" w:space="0" w:color="auto"/>
            <w:right w:val="none" w:sz="0" w:space="0" w:color="auto"/>
          </w:divBdr>
          <w:divsChild>
            <w:div w:id="1091270127">
              <w:marLeft w:val="0"/>
              <w:marRight w:val="0"/>
              <w:marTop w:val="0"/>
              <w:marBottom w:val="0"/>
              <w:divBdr>
                <w:top w:val="none" w:sz="0" w:space="0" w:color="auto"/>
                <w:left w:val="none" w:sz="0" w:space="0" w:color="auto"/>
                <w:bottom w:val="none" w:sz="0" w:space="0" w:color="auto"/>
                <w:right w:val="none" w:sz="0" w:space="0" w:color="auto"/>
              </w:divBdr>
            </w:div>
            <w:div w:id="53162742">
              <w:marLeft w:val="0"/>
              <w:marRight w:val="0"/>
              <w:marTop w:val="0"/>
              <w:marBottom w:val="0"/>
              <w:divBdr>
                <w:top w:val="none" w:sz="0" w:space="0" w:color="auto"/>
                <w:left w:val="none" w:sz="0" w:space="0" w:color="auto"/>
                <w:bottom w:val="none" w:sz="0" w:space="0" w:color="auto"/>
                <w:right w:val="none" w:sz="0" w:space="0" w:color="auto"/>
              </w:divBdr>
            </w:div>
            <w:div w:id="284433513">
              <w:marLeft w:val="0"/>
              <w:marRight w:val="0"/>
              <w:marTop w:val="0"/>
              <w:marBottom w:val="0"/>
              <w:divBdr>
                <w:top w:val="none" w:sz="0" w:space="0" w:color="auto"/>
                <w:left w:val="none" w:sz="0" w:space="0" w:color="auto"/>
                <w:bottom w:val="none" w:sz="0" w:space="0" w:color="auto"/>
                <w:right w:val="none" w:sz="0" w:space="0" w:color="auto"/>
              </w:divBdr>
            </w:div>
            <w:div w:id="2059934860">
              <w:marLeft w:val="0"/>
              <w:marRight w:val="0"/>
              <w:marTop w:val="0"/>
              <w:marBottom w:val="0"/>
              <w:divBdr>
                <w:top w:val="none" w:sz="0" w:space="0" w:color="auto"/>
                <w:left w:val="none" w:sz="0" w:space="0" w:color="auto"/>
                <w:bottom w:val="none" w:sz="0" w:space="0" w:color="auto"/>
                <w:right w:val="none" w:sz="0" w:space="0" w:color="auto"/>
              </w:divBdr>
            </w:div>
            <w:div w:id="745104569">
              <w:marLeft w:val="0"/>
              <w:marRight w:val="0"/>
              <w:marTop w:val="0"/>
              <w:marBottom w:val="0"/>
              <w:divBdr>
                <w:top w:val="none" w:sz="0" w:space="0" w:color="auto"/>
                <w:left w:val="none" w:sz="0" w:space="0" w:color="auto"/>
                <w:bottom w:val="none" w:sz="0" w:space="0" w:color="auto"/>
                <w:right w:val="none" w:sz="0" w:space="0" w:color="auto"/>
              </w:divBdr>
            </w:div>
            <w:div w:id="644821720">
              <w:marLeft w:val="0"/>
              <w:marRight w:val="0"/>
              <w:marTop w:val="0"/>
              <w:marBottom w:val="0"/>
              <w:divBdr>
                <w:top w:val="none" w:sz="0" w:space="0" w:color="auto"/>
                <w:left w:val="none" w:sz="0" w:space="0" w:color="auto"/>
                <w:bottom w:val="none" w:sz="0" w:space="0" w:color="auto"/>
                <w:right w:val="none" w:sz="0" w:space="0" w:color="auto"/>
              </w:divBdr>
            </w:div>
            <w:div w:id="516700486">
              <w:marLeft w:val="0"/>
              <w:marRight w:val="0"/>
              <w:marTop w:val="0"/>
              <w:marBottom w:val="0"/>
              <w:divBdr>
                <w:top w:val="none" w:sz="0" w:space="0" w:color="auto"/>
                <w:left w:val="none" w:sz="0" w:space="0" w:color="auto"/>
                <w:bottom w:val="none" w:sz="0" w:space="0" w:color="auto"/>
                <w:right w:val="none" w:sz="0" w:space="0" w:color="auto"/>
              </w:divBdr>
            </w:div>
            <w:div w:id="1542127664">
              <w:marLeft w:val="0"/>
              <w:marRight w:val="0"/>
              <w:marTop w:val="0"/>
              <w:marBottom w:val="0"/>
              <w:divBdr>
                <w:top w:val="none" w:sz="0" w:space="0" w:color="auto"/>
                <w:left w:val="none" w:sz="0" w:space="0" w:color="auto"/>
                <w:bottom w:val="none" w:sz="0" w:space="0" w:color="auto"/>
                <w:right w:val="none" w:sz="0" w:space="0" w:color="auto"/>
              </w:divBdr>
            </w:div>
            <w:div w:id="929312530">
              <w:marLeft w:val="0"/>
              <w:marRight w:val="0"/>
              <w:marTop w:val="0"/>
              <w:marBottom w:val="0"/>
              <w:divBdr>
                <w:top w:val="none" w:sz="0" w:space="0" w:color="auto"/>
                <w:left w:val="none" w:sz="0" w:space="0" w:color="auto"/>
                <w:bottom w:val="none" w:sz="0" w:space="0" w:color="auto"/>
                <w:right w:val="none" w:sz="0" w:space="0" w:color="auto"/>
              </w:divBdr>
            </w:div>
            <w:div w:id="1409880614">
              <w:marLeft w:val="0"/>
              <w:marRight w:val="0"/>
              <w:marTop w:val="0"/>
              <w:marBottom w:val="0"/>
              <w:divBdr>
                <w:top w:val="none" w:sz="0" w:space="0" w:color="auto"/>
                <w:left w:val="none" w:sz="0" w:space="0" w:color="auto"/>
                <w:bottom w:val="none" w:sz="0" w:space="0" w:color="auto"/>
                <w:right w:val="none" w:sz="0" w:space="0" w:color="auto"/>
              </w:divBdr>
            </w:div>
            <w:div w:id="1328289791">
              <w:marLeft w:val="0"/>
              <w:marRight w:val="0"/>
              <w:marTop w:val="0"/>
              <w:marBottom w:val="0"/>
              <w:divBdr>
                <w:top w:val="none" w:sz="0" w:space="0" w:color="auto"/>
                <w:left w:val="none" w:sz="0" w:space="0" w:color="auto"/>
                <w:bottom w:val="none" w:sz="0" w:space="0" w:color="auto"/>
                <w:right w:val="none" w:sz="0" w:space="0" w:color="auto"/>
              </w:divBdr>
            </w:div>
            <w:div w:id="844830762">
              <w:marLeft w:val="0"/>
              <w:marRight w:val="0"/>
              <w:marTop w:val="0"/>
              <w:marBottom w:val="0"/>
              <w:divBdr>
                <w:top w:val="none" w:sz="0" w:space="0" w:color="auto"/>
                <w:left w:val="none" w:sz="0" w:space="0" w:color="auto"/>
                <w:bottom w:val="none" w:sz="0" w:space="0" w:color="auto"/>
                <w:right w:val="none" w:sz="0" w:space="0" w:color="auto"/>
              </w:divBdr>
            </w:div>
            <w:div w:id="207107203">
              <w:marLeft w:val="0"/>
              <w:marRight w:val="0"/>
              <w:marTop w:val="0"/>
              <w:marBottom w:val="0"/>
              <w:divBdr>
                <w:top w:val="none" w:sz="0" w:space="0" w:color="auto"/>
                <w:left w:val="none" w:sz="0" w:space="0" w:color="auto"/>
                <w:bottom w:val="none" w:sz="0" w:space="0" w:color="auto"/>
                <w:right w:val="none" w:sz="0" w:space="0" w:color="auto"/>
              </w:divBdr>
            </w:div>
            <w:div w:id="617297448">
              <w:marLeft w:val="0"/>
              <w:marRight w:val="0"/>
              <w:marTop w:val="0"/>
              <w:marBottom w:val="0"/>
              <w:divBdr>
                <w:top w:val="none" w:sz="0" w:space="0" w:color="auto"/>
                <w:left w:val="none" w:sz="0" w:space="0" w:color="auto"/>
                <w:bottom w:val="none" w:sz="0" w:space="0" w:color="auto"/>
                <w:right w:val="none" w:sz="0" w:space="0" w:color="auto"/>
              </w:divBdr>
            </w:div>
            <w:div w:id="706566885">
              <w:marLeft w:val="0"/>
              <w:marRight w:val="0"/>
              <w:marTop w:val="0"/>
              <w:marBottom w:val="0"/>
              <w:divBdr>
                <w:top w:val="none" w:sz="0" w:space="0" w:color="auto"/>
                <w:left w:val="none" w:sz="0" w:space="0" w:color="auto"/>
                <w:bottom w:val="none" w:sz="0" w:space="0" w:color="auto"/>
                <w:right w:val="none" w:sz="0" w:space="0" w:color="auto"/>
              </w:divBdr>
            </w:div>
            <w:div w:id="453409893">
              <w:marLeft w:val="0"/>
              <w:marRight w:val="0"/>
              <w:marTop w:val="0"/>
              <w:marBottom w:val="0"/>
              <w:divBdr>
                <w:top w:val="none" w:sz="0" w:space="0" w:color="auto"/>
                <w:left w:val="none" w:sz="0" w:space="0" w:color="auto"/>
                <w:bottom w:val="none" w:sz="0" w:space="0" w:color="auto"/>
                <w:right w:val="none" w:sz="0" w:space="0" w:color="auto"/>
              </w:divBdr>
            </w:div>
            <w:div w:id="1459835123">
              <w:marLeft w:val="0"/>
              <w:marRight w:val="0"/>
              <w:marTop w:val="0"/>
              <w:marBottom w:val="0"/>
              <w:divBdr>
                <w:top w:val="none" w:sz="0" w:space="0" w:color="auto"/>
                <w:left w:val="none" w:sz="0" w:space="0" w:color="auto"/>
                <w:bottom w:val="none" w:sz="0" w:space="0" w:color="auto"/>
                <w:right w:val="none" w:sz="0" w:space="0" w:color="auto"/>
              </w:divBdr>
            </w:div>
            <w:div w:id="271598060">
              <w:marLeft w:val="0"/>
              <w:marRight w:val="0"/>
              <w:marTop w:val="0"/>
              <w:marBottom w:val="0"/>
              <w:divBdr>
                <w:top w:val="none" w:sz="0" w:space="0" w:color="auto"/>
                <w:left w:val="none" w:sz="0" w:space="0" w:color="auto"/>
                <w:bottom w:val="none" w:sz="0" w:space="0" w:color="auto"/>
                <w:right w:val="none" w:sz="0" w:space="0" w:color="auto"/>
              </w:divBdr>
            </w:div>
            <w:div w:id="181165639">
              <w:marLeft w:val="0"/>
              <w:marRight w:val="0"/>
              <w:marTop w:val="0"/>
              <w:marBottom w:val="0"/>
              <w:divBdr>
                <w:top w:val="none" w:sz="0" w:space="0" w:color="auto"/>
                <w:left w:val="none" w:sz="0" w:space="0" w:color="auto"/>
                <w:bottom w:val="none" w:sz="0" w:space="0" w:color="auto"/>
                <w:right w:val="none" w:sz="0" w:space="0" w:color="auto"/>
              </w:divBdr>
            </w:div>
            <w:div w:id="1873616623">
              <w:marLeft w:val="0"/>
              <w:marRight w:val="0"/>
              <w:marTop w:val="0"/>
              <w:marBottom w:val="0"/>
              <w:divBdr>
                <w:top w:val="none" w:sz="0" w:space="0" w:color="auto"/>
                <w:left w:val="none" w:sz="0" w:space="0" w:color="auto"/>
                <w:bottom w:val="none" w:sz="0" w:space="0" w:color="auto"/>
                <w:right w:val="none" w:sz="0" w:space="0" w:color="auto"/>
              </w:divBdr>
            </w:div>
            <w:div w:id="885725996">
              <w:marLeft w:val="0"/>
              <w:marRight w:val="0"/>
              <w:marTop w:val="0"/>
              <w:marBottom w:val="0"/>
              <w:divBdr>
                <w:top w:val="none" w:sz="0" w:space="0" w:color="auto"/>
                <w:left w:val="none" w:sz="0" w:space="0" w:color="auto"/>
                <w:bottom w:val="none" w:sz="0" w:space="0" w:color="auto"/>
                <w:right w:val="none" w:sz="0" w:space="0" w:color="auto"/>
              </w:divBdr>
            </w:div>
            <w:div w:id="15884621">
              <w:marLeft w:val="0"/>
              <w:marRight w:val="0"/>
              <w:marTop w:val="0"/>
              <w:marBottom w:val="0"/>
              <w:divBdr>
                <w:top w:val="none" w:sz="0" w:space="0" w:color="auto"/>
                <w:left w:val="none" w:sz="0" w:space="0" w:color="auto"/>
                <w:bottom w:val="none" w:sz="0" w:space="0" w:color="auto"/>
                <w:right w:val="none" w:sz="0" w:space="0" w:color="auto"/>
              </w:divBdr>
            </w:div>
            <w:div w:id="1844280695">
              <w:marLeft w:val="0"/>
              <w:marRight w:val="0"/>
              <w:marTop w:val="0"/>
              <w:marBottom w:val="0"/>
              <w:divBdr>
                <w:top w:val="none" w:sz="0" w:space="0" w:color="auto"/>
                <w:left w:val="none" w:sz="0" w:space="0" w:color="auto"/>
                <w:bottom w:val="none" w:sz="0" w:space="0" w:color="auto"/>
                <w:right w:val="none" w:sz="0" w:space="0" w:color="auto"/>
              </w:divBdr>
            </w:div>
            <w:div w:id="1775400199">
              <w:marLeft w:val="0"/>
              <w:marRight w:val="0"/>
              <w:marTop w:val="0"/>
              <w:marBottom w:val="0"/>
              <w:divBdr>
                <w:top w:val="none" w:sz="0" w:space="0" w:color="auto"/>
                <w:left w:val="none" w:sz="0" w:space="0" w:color="auto"/>
                <w:bottom w:val="none" w:sz="0" w:space="0" w:color="auto"/>
                <w:right w:val="none" w:sz="0" w:space="0" w:color="auto"/>
              </w:divBdr>
            </w:div>
            <w:div w:id="693000044">
              <w:marLeft w:val="0"/>
              <w:marRight w:val="0"/>
              <w:marTop w:val="0"/>
              <w:marBottom w:val="0"/>
              <w:divBdr>
                <w:top w:val="none" w:sz="0" w:space="0" w:color="auto"/>
                <w:left w:val="none" w:sz="0" w:space="0" w:color="auto"/>
                <w:bottom w:val="none" w:sz="0" w:space="0" w:color="auto"/>
                <w:right w:val="none" w:sz="0" w:space="0" w:color="auto"/>
              </w:divBdr>
            </w:div>
            <w:div w:id="1603029210">
              <w:marLeft w:val="0"/>
              <w:marRight w:val="0"/>
              <w:marTop w:val="0"/>
              <w:marBottom w:val="0"/>
              <w:divBdr>
                <w:top w:val="none" w:sz="0" w:space="0" w:color="auto"/>
                <w:left w:val="none" w:sz="0" w:space="0" w:color="auto"/>
                <w:bottom w:val="none" w:sz="0" w:space="0" w:color="auto"/>
                <w:right w:val="none" w:sz="0" w:space="0" w:color="auto"/>
              </w:divBdr>
            </w:div>
            <w:div w:id="1732465899">
              <w:marLeft w:val="0"/>
              <w:marRight w:val="0"/>
              <w:marTop w:val="0"/>
              <w:marBottom w:val="0"/>
              <w:divBdr>
                <w:top w:val="none" w:sz="0" w:space="0" w:color="auto"/>
                <w:left w:val="none" w:sz="0" w:space="0" w:color="auto"/>
                <w:bottom w:val="none" w:sz="0" w:space="0" w:color="auto"/>
                <w:right w:val="none" w:sz="0" w:space="0" w:color="auto"/>
              </w:divBdr>
            </w:div>
            <w:div w:id="1600747968">
              <w:marLeft w:val="0"/>
              <w:marRight w:val="0"/>
              <w:marTop w:val="0"/>
              <w:marBottom w:val="0"/>
              <w:divBdr>
                <w:top w:val="none" w:sz="0" w:space="0" w:color="auto"/>
                <w:left w:val="none" w:sz="0" w:space="0" w:color="auto"/>
                <w:bottom w:val="none" w:sz="0" w:space="0" w:color="auto"/>
                <w:right w:val="none" w:sz="0" w:space="0" w:color="auto"/>
              </w:divBdr>
            </w:div>
            <w:div w:id="1473524218">
              <w:marLeft w:val="0"/>
              <w:marRight w:val="0"/>
              <w:marTop w:val="0"/>
              <w:marBottom w:val="0"/>
              <w:divBdr>
                <w:top w:val="none" w:sz="0" w:space="0" w:color="auto"/>
                <w:left w:val="none" w:sz="0" w:space="0" w:color="auto"/>
                <w:bottom w:val="none" w:sz="0" w:space="0" w:color="auto"/>
                <w:right w:val="none" w:sz="0" w:space="0" w:color="auto"/>
              </w:divBdr>
            </w:div>
            <w:div w:id="1254321552">
              <w:marLeft w:val="0"/>
              <w:marRight w:val="0"/>
              <w:marTop w:val="0"/>
              <w:marBottom w:val="0"/>
              <w:divBdr>
                <w:top w:val="none" w:sz="0" w:space="0" w:color="auto"/>
                <w:left w:val="none" w:sz="0" w:space="0" w:color="auto"/>
                <w:bottom w:val="none" w:sz="0" w:space="0" w:color="auto"/>
                <w:right w:val="none" w:sz="0" w:space="0" w:color="auto"/>
              </w:divBdr>
            </w:div>
            <w:div w:id="1475947991">
              <w:marLeft w:val="0"/>
              <w:marRight w:val="0"/>
              <w:marTop w:val="0"/>
              <w:marBottom w:val="0"/>
              <w:divBdr>
                <w:top w:val="none" w:sz="0" w:space="0" w:color="auto"/>
                <w:left w:val="none" w:sz="0" w:space="0" w:color="auto"/>
                <w:bottom w:val="none" w:sz="0" w:space="0" w:color="auto"/>
                <w:right w:val="none" w:sz="0" w:space="0" w:color="auto"/>
              </w:divBdr>
            </w:div>
            <w:div w:id="34894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allica.bnf.fr/ark:/12148/bpt6k1025028b" TargetMode="External"/><Relationship Id="rId13" Type="http://schemas.openxmlformats.org/officeDocument/2006/relationships/hyperlink" Target="https://www.jstor.org/stable/j.ctt1gpcb0m.6"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jstor.org/stable/10.5749/j.ctt9qh39w.22"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37862/aaeportal.00067.005" TargetMode="External"/><Relationship Id="rId5" Type="http://schemas.openxmlformats.org/officeDocument/2006/relationships/footnotes" Target="footnotes.xml"/><Relationship Id="rId15" Type="http://schemas.openxmlformats.org/officeDocument/2006/relationships/hyperlink" Target="https://doi.org/link.gale.com/apps/doc/CX2890500387/GVRL?u=nclivedc&amp;sid=bookmark-GVRL&amp;xid=67022356" TargetMode="External"/><Relationship Id="rId10" Type="http://schemas.openxmlformats.org/officeDocument/2006/relationships/hyperlink" Target="https://aaeportal-com.proxy048.nclive.org/?id=-15804"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aaeportal.com/?id=-15810" TargetMode="External"/><Relationship Id="rId14" Type="http://schemas.openxmlformats.org/officeDocument/2006/relationships/hyperlink" Target="https://gallica.bnf.fr/ark:/12148/btv1b53065597j.r=alfred%20delvau?rk=21459;2"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aaeportal.com/?id=-15810" TargetMode="External"/><Relationship Id="rId2" Type="http://schemas.openxmlformats.org/officeDocument/2006/relationships/hyperlink" Target="https://aaeportal-com.proxy048.nclive.org/?id=-15804" TargetMode="External"/><Relationship Id="rId1" Type="http://schemas.openxmlformats.org/officeDocument/2006/relationships/hyperlink" Target="https://gallica.bnf.fr/ark:/12148/bpt6k1025028b" TargetMode="External"/><Relationship Id="rId5" Type="http://schemas.openxmlformats.org/officeDocument/2006/relationships/hyperlink" Target="https://doi.org/link.gale.com/apps/doc/CX2890500387/GVRL?u=nclivedc&amp;sid=bookmark-GVRL&amp;xid=67022356" TargetMode="External"/><Relationship Id="rId4" Type="http://schemas.openxmlformats.org/officeDocument/2006/relationships/hyperlink" Target="http://www.jstor.org/stable/10.5749/j.ctt9qh39w.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19</Pages>
  <Words>4562</Words>
  <Characters>26004</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Rees, Sophia</dc:creator>
  <cp:keywords/>
  <dc:description/>
  <cp:lastModifiedBy>Rees, Sophia</cp:lastModifiedBy>
  <cp:revision>6</cp:revision>
  <cp:lastPrinted>2024-12-15T20:03:00Z</cp:lastPrinted>
  <dcterms:created xsi:type="dcterms:W3CDTF">2024-12-15T20:03:00Z</dcterms:created>
  <dcterms:modified xsi:type="dcterms:W3CDTF">2024-12-15T23:33:00Z</dcterms:modified>
</cp:coreProperties>
</file>