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2182" w:rsidRDefault="00000000">
      <w:pPr>
        <w:spacing w:line="48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Entrenched Patriarchal Norms and Contributors to Pan-Africanism: A Scholarly Conversation between Adom Getachew and Sylvia Tamale </w:t>
      </w:r>
    </w:p>
    <w:p w14:paraId="00000002" w14:textId="77777777" w:rsidR="00DE2182"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Pan-Africanism aims to unify all Africans and fight against </w:t>
      </w:r>
      <w:proofErr w:type="gramStart"/>
      <w:r>
        <w:rPr>
          <w:rFonts w:ascii="Times New Roman" w:eastAsia="Times New Roman" w:hAnsi="Times New Roman" w:cs="Times New Roman"/>
          <w:sz w:val="24"/>
          <w:szCs w:val="24"/>
        </w:rPr>
        <w:t>colonialism,</w:t>
      </w:r>
      <w:proofErr w:type="gramEnd"/>
      <w:r>
        <w:rPr>
          <w:rFonts w:ascii="Times New Roman" w:eastAsia="Times New Roman" w:hAnsi="Times New Roman" w:cs="Times New Roman"/>
          <w:sz w:val="24"/>
          <w:szCs w:val="24"/>
        </w:rPr>
        <w:t xml:space="preserve"> however, the dominant academic narrative centers the Pan-African movement around male experiences and figures. Consequently, the framework created by contemporary </w:t>
      </w:r>
      <w:proofErr w:type="gramStart"/>
      <w:r>
        <w:rPr>
          <w:rFonts w:ascii="Times New Roman" w:eastAsia="Times New Roman" w:hAnsi="Times New Roman" w:cs="Times New Roman"/>
          <w:sz w:val="24"/>
          <w:szCs w:val="24"/>
        </w:rPr>
        <w:t>scholars</w:t>
      </w:r>
      <w:proofErr w:type="gramEnd"/>
      <w:r>
        <w:rPr>
          <w:rFonts w:ascii="Times New Roman" w:eastAsia="Times New Roman" w:hAnsi="Times New Roman" w:cs="Times New Roman"/>
          <w:sz w:val="24"/>
          <w:szCs w:val="24"/>
        </w:rPr>
        <w:t xml:space="preserve"> shapes how the past is perceived in the present. Two scholars, Adom Getachew and Sylvia Tamale, have focused on tracing Black history to answer the same question: who has contributed to Pan-Africanism? On the one hand, Getachew describes how the ideas of highly educated anti-colonial men changed the international order in her book titled “Worldmaking After Empire”</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published in 2019. On the other hand, in “Decolonization and Afro-Feminism”</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released in 2020, Tamale suggests that women have a fundamental role in Pan-Africanism, with contributions often overlooked in modern accounts due to colonial legacies. By putting these two texts in conversation, it is evident that Tamale criticizes the patriarchal framework that scholars such as Getachew use to describe Pan-African history. Through analyzing “The Status of Women in Nigeria”</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by the female activist, Ransom-Kuti, I will add to the discussion and illustrate how patriarchal norms from colonialism are profoundly immersed in ideologies that continue to influence Pan-Africanism.</w:t>
      </w:r>
    </w:p>
    <w:p w14:paraId="00000003" w14:textId="0DEE2815" w:rsidR="00DE21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“Worldmaking After the Empire,” Getachew describes how Black anti-colonialist figures contributed to developing Pan-Africanism in the twentieth century, weaving their ideas together in opposition to colonial oppression. However, in giving such a description, she inadvertently reinforces a patriarchal framework Tamale identifies as “modernity-coloniality.”</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Getachew argues decolonization was not merely a moment of nation-building, but rather “the </w:t>
      </w:r>
      <w:r>
        <w:rPr>
          <w:rFonts w:ascii="Times New Roman" w:eastAsia="Times New Roman" w:hAnsi="Times New Roman" w:cs="Times New Roman"/>
          <w:sz w:val="24"/>
          <w:szCs w:val="24"/>
        </w:rPr>
        <w:lastRenderedPageBreak/>
        <w:t>twentieth century’s most ambitious vision of global redistribution.”</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To support her claim, she draws on the political thought of well-known Anglophone Pan-Africanists, including Nnamdi Azikiwe, W.E.B. Du Bois, Michael Manley, Kwame Nkrumah, Julius Nyerere, George Padmore, and Eric Williams.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In the section “The Worlds of Pan-Africanism”, Getachew states that although she focuses on Anglophone thinkers, there are also Francophone figures that played an essential role in the movement, providing some examples like Aimé </w:t>
      </w:r>
      <w:proofErr w:type="spellStart"/>
      <w:r>
        <w:rPr>
          <w:rFonts w:ascii="Times New Roman" w:eastAsia="Times New Roman" w:hAnsi="Times New Roman" w:cs="Times New Roman"/>
          <w:sz w:val="24"/>
          <w:szCs w:val="24"/>
        </w:rPr>
        <w:t>Césaire</w:t>
      </w:r>
      <w:proofErr w:type="spellEnd"/>
      <w:r>
        <w:rPr>
          <w:rFonts w:ascii="Times New Roman" w:eastAsia="Times New Roman" w:hAnsi="Times New Roman" w:cs="Times New Roman"/>
          <w:sz w:val="24"/>
          <w:szCs w:val="24"/>
        </w:rPr>
        <w:t xml:space="preserve">, Paulette </w:t>
      </w:r>
      <w:proofErr w:type="spellStart"/>
      <w:r>
        <w:rPr>
          <w:rFonts w:ascii="Times New Roman" w:eastAsia="Times New Roman" w:hAnsi="Times New Roman" w:cs="Times New Roman"/>
          <w:sz w:val="24"/>
          <w:szCs w:val="24"/>
        </w:rPr>
        <w:t>Nardal</w:t>
      </w:r>
      <w:proofErr w:type="spellEnd"/>
      <w:r>
        <w:rPr>
          <w:rFonts w:ascii="Times New Roman" w:eastAsia="Times New Roman" w:hAnsi="Times New Roman" w:cs="Times New Roman"/>
          <w:sz w:val="24"/>
          <w:szCs w:val="24"/>
        </w:rPr>
        <w:t>, and Léopold Senghor.</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In her trace</w:t>
      </w:r>
      <w:r w:rsidR="00EB39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Pan-Africanist, Getachew only highlights one woman—Paulette </w:t>
      </w:r>
      <w:proofErr w:type="spellStart"/>
      <w:r>
        <w:rPr>
          <w:rFonts w:ascii="Times New Roman" w:eastAsia="Times New Roman" w:hAnsi="Times New Roman" w:cs="Times New Roman"/>
          <w:sz w:val="24"/>
          <w:szCs w:val="24"/>
        </w:rPr>
        <w:t>Nardal</w:t>
      </w:r>
      <w:proofErr w:type="spellEnd"/>
      <w:r>
        <w:rPr>
          <w:rFonts w:ascii="Times New Roman" w:eastAsia="Times New Roman" w:hAnsi="Times New Roman" w:cs="Times New Roman"/>
          <w:sz w:val="24"/>
          <w:szCs w:val="24"/>
        </w:rPr>
        <w:t>—and her mention is brief, confined to a single line. The male-centric framework is condemned by Tamale in her introduction where she says that decolonial scholarship on Africa has “notable masculinist bias in the field that totally ignores gender theorization.”</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By focusing the narrative on male-elevated figures, Getachew perpetuates the misleading notion women have made less significant contributions to Pan-Africanism than men.</w:t>
      </w:r>
    </w:p>
    <w:p w14:paraId="00000004" w14:textId="77777777" w:rsidR="00DE21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Tamale’s response to Getachew’s notion is that “modernity-coloniality” has established perceptions of a dichotomous world, leading to patriarchal frameworks in the academy. She first describes coloniality as “an ideological system…long-standing patterns of power that resulted from European colonialism.”</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On this basis, coloniality does not impose a political or social system but instead constitutes expectations of the world. Thus, when discussing modernity-coloniality, Tamale refers to contemporary mindsets that are the product of imposed concepts during colonialism. As she describes how race and gender are concepts imposed in colonialism, she states that modernity-coloniality “has shaped the way the world perceives us and most of us have in turn </w:t>
      </w:r>
      <w:r>
        <w:rPr>
          <w:rFonts w:ascii="Times New Roman" w:eastAsia="Times New Roman" w:hAnsi="Times New Roman" w:cs="Times New Roman"/>
          <w:sz w:val="24"/>
          <w:szCs w:val="24"/>
        </w:rPr>
        <w:lastRenderedPageBreak/>
        <w:t>internalized its constructions of who we are.”</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Tamale then uses the metaphor of “the colonial machinery”</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to further demonstrate her argument, the concepts established in the colonial period have repercussions on the organization of the contemporary world, even outside of the academic conversation.  </w:t>
      </w:r>
    </w:p>
    <w:p w14:paraId="00000005" w14:textId="77777777" w:rsidR="00DE21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Pan-Africanism to overcome colonialism, Tamale argues that a complete recall of the past–including women’s voices–is necessary. In the section “Towards Feminist Pan-Africanism and Pan-African Feminism,” she describes the efforts of a wide range of women who participated in the movement. Although she denies her work is a chronological account of Pan-Africanism,</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she traces the efforts of female activists and writers to deal with the exclusion of Black women who were “constructed as </w:t>
      </w:r>
      <w:r>
        <w:rPr>
          <w:rFonts w:ascii="Times New Roman" w:eastAsia="Times New Roman" w:hAnsi="Times New Roman" w:cs="Times New Roman"/>
          <w:i/>
          <w:sz w:val="24"/>
          <w:szCs w:val="24"/>
        </w:rPr>
        <w:t>a gender without history.</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Tamale’s justification for her feminist approach relies on her claim that Pan-Africanism is an “unfinished business.”</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It is important to notice that Tamale’s framework does not aim to ignore the work of the male figures that scholars like Getachew often mention. Instead, she seeks to hear the often-muted voices of women to powerfully confront and dismantle the patriarchal frameworks of coloniality. The use of a simile further explains her desire to change future narratives as she says, “The Pan-African Movement and the African feminist movements have been like two ships passing in the night, primarily following parallel paths with only tenuous points of intersection.”</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Thus, she requests contemporary scholars and future generations to learn about female activists such as Alice Kinloch, the </w:t>
      </w:r>
      <w:proofErr w:type="spellStart"/>
      <w:r>
        <w:rPr>
          <w:rFonts w:ascii="Times New Roman" w:eastAsia="Times New Roman" w:hAnsi="Times New Roman" w:cs="Times New Roman"/>
          <w:sz w:val="24"/>
          <w:szCs w:val="24"/>
        </w:rPr>
        <w:t>Nardal</w:t>
      </w:r>
      <w:proofErr w:type="spellEnd"/>
      <w:r>
        <w:rPr>
          <w:rFonts w:ascii="Times New Roman" w:eastAsia="Times New Roman" w:hAnsi="Times New Roman" w:cs="Times New Roman"/>
          <w:sz w:val="24"/>
          <w:szCs w:val="24"/>
        </w:rPr>
        <w:t xml:space="preserve"> sisters, Suzanne </w:t>
      </w:r>
      <w:proofErr w:type="spellStart"/>
      <w:r>
        <w:rPr>
          <w:rFonts w:ascii="Times New Roman" w:eastAsia="Times New Roman" w:hAnsi="Times New Roman" w:cs="Times New Roman"/>
          <w:sz w:val="24"/>
          <w:szCs w:val="24"/>
        </w:rPr>
        <w:t>Lacascade</w:t>
      </w:r>
      <w:proofErr w:type="spellEnd"/>
      <w:r>
        <w:rPr>
          <w:rFonts w:ascii="Times New Roman" w:eastAsia="Times New Roman" w:hAnsi="Times New Roman" w:cs="Times New Roman"/>
          <w:sz w:val="24"/>
          <w:szCs w:val="24"/>
        </w:rPr>
        <w:t xml:space="preserve">, Maryse Condé, Amy Ashwood Garvey, Mabel </w:t>
      </w:r>
      <w:r>
        <w:rPr>
          <w:rFonts w:ascii="Times New Roman" w:eastAsia="Times New Roman" w:hAnsi="Times New Roman" w:cs="Times New Roman"/>
          <w:sz w:val="24"/>
          <w:szCs w:val="24"/>
        </w:rPr>
        <w:lastRenderedPageBreak/>
        <w:t>Dove Danquah, and Funmilayo Ransome-Kuti, among others.</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Consequently, Tamale opens the conversation to other women who might contribute to Pan-Africanism after her. </w:t>
      </w:r>
    </w:p>
    <w:p w14:paraId="00000006" w14:textId="77777777" w:rsidR="00DE21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nuance in Tamale’s solution arises when women’s voices also align with patriarchal ideologies as observed in “The Status of Women in Nigeria” by Ransome-Kuti. Following Tamale’s request, I analyzed this piece to view the perspective of a woman who “fought for suffrage and equal rights in the post-World War II period.”</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Given Tamale's advocacy for an Afro-feminist movement and her admiration for Ransome-Kuti, one might assume that Ransome-Kuti’s work aligns with Tamale’s ideals. Yet, when taking a deeper look at “The Status of Women in Nigeria,” </w:t>
      </w:r>
      <w:proofErr w:type="gramStart"/>
      <w:r>
        <w:rPr>
          <w:rFonts w:ascii="Times New Roman" w:eastAsia="Times New Roman" w:hAnsi="Times New Roman" w:cs="Times New Roman"/>
          <w:sz w:val="24"/>
          <w:szCs w:val="24"/>
        </w:rPr>
        <w:t>it is clear that Ransome-Kuti</w:t>
      </w:r>
      <w:proofErr w:type="gramEnd"/>
      <w:r>
        <w:rPr>
          <w:rFonts w:ascii="Times New Roman" w:eastAsia="Times New Roman" w:hAnsi="Times New Roman" w:cs="Times New Roman"/>
          <w:sz w:val="24"/>
          <w:szCs w:val="24"/>
        </w:rPr>
        <w:t xml:space="preserve"> was not challenging the patriarchal ideas of colonialism. She describes women as “suffering in quietness”</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with a long battle to face because “men do not want women to take part in our legislation.”</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However, throughout her argument, Ransome-Kuti’s patriarchal bias is noticed in statements such as women in Nigeria must be “clean, simple, and attractive,”</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which reinforces the idea that women are merely objects whose worth is dependent upon their physical appearance. Moreover, when she says that women must know their domestic work and how to be tolerant and silent with their husbands</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one recognizes that she sticks to gender roles imposed during colonialism. In this sense, Ransome-Kuti embodies the gender limitations that define what is expected of women to do and be. By this, I do not mean to underestimate the important logistics and organizational achievements of Ransome-Kuti in mobilizing women at the time. Alternatively, I highlight her bias to present a counter-narrative to Tamale’s argument, which is that the patriarchal legacy of colonialism is complex to delink from </w:t>
      </w:r>
      <w:r>
        <w:rPr>
          <w:rFonts w:ascii="Times New Roman" w:eastAsia="Times New Roman" w:hAnsi="Times New Roman" w:cs="Times New Roman"/>
          <w:sz w:val="24"/>
          <w:szCs w:val="24"/>
        </w:rPr>
        <w:lastRenderedPageBreak/>
        <w:t xml:space="preserve">society. Hence, when acknowledging those who have contributed to Pan-Africanism it is important to differentiate when the narrative is integrating or separating feminism from Pan-Africanism. </w:t>
      </w:r>
    </w:p>
    <w:p w14:paraId="00000007" w14:textId="77777777" w:rsidR="00DE2182"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conversation between Tamale and Getachew illustrates how the persistent tension between race, gender, and colonial legacies reveals a deeper ongoing struggle within Pan-African thought. Both authors are prominent contemporary scholars who offer frameworks to trace a movement so diverse that it cannot be studied under a single paradigm. Tamale’s point of women’s discrimination within Pan-Africanism is undeniable, yet her solution of studying more female activists is not as straightforward. When looking at Ransome-Kuti, one notices that her advocacy for women’s rights, while invaluable, also illustrates how deeply entrenched patriarchal norms still influence those fighting against colonial rule. This underscores Tamale’s point that meaningful decolonization requires the unraveling of gender hierarchies that were themselves colonial constructs. To successfully undo colonial constructs, one must not just rethink who is remembered but also how we interpret the legacies they leave behind. Therefore, to reconstruct a full Pan-Africanism history it is necessary to acknowledge the masculinist bias and further study all individuals who participated–and continue to participate–in the movement.</w:t>
      </w:r>
    </w:p>
    <w:p w14:paraId="00000008" w14:textId="77777777" w:rsidR="00DE2182" w:rsidRDefault="00DE2182">
      <w:pPr>
        <w:spacing w:line="480" w:lineRule="auto"/>
        <w:ind w:firstLine="720"/>
        <w:jc w:val="both"/>
        <w:rPr>
          <w:rFonts w:ascii="Times New Roman" w:eastAsia="Times New Roman" w:hAnsi="Times New Roman" w:cs="Times New Roman"/>
          <w:sz w:val="24"/>
          <w:szCs w:val="24"/>
        </w:rPr>
      </w:pPr>
    </w:p>
    <w:p w14:paraId="00000009" w14:textId="77777777" w:rsidR="00DE2182" w:rsidRDefault="00DE2182">
      <w:pPr>
        <w:spacing w:line="480" w:lineRule="auto"/>
        <w:ind w:firstLine="720"/>
        <w:jc w:val="both"/>
        <w:rPr>
          <w:rFonts w:ascii="Times New Roman" w:eastAsia="Times New Roman" w:hAnsi="Times New Roman" w:cs="Times New Roman"/>
          <w:sz w:val="24"/>
          <w:szCs w:val="24"/>
        </w:rPr>
      </w:pPr>
    </w:p>
    <w:p w14:paraId="0000000A" w14:textId="77777777" w:rsidR="00DE2182" w:rsidRDefault="00DE2182">
      <w:pPr>
        <w:spacing w:line="480" w:lineRule="auto"/>
        <w:ind w:firstLine="720"/>
        <w:jc w:val="both"/>
        <w:rPr>
          <w:rFonts w:ascii="Times New Roman" w:eastAsia="Times New Roman" w:hAnsi="Times New Roman" w:cs="Times New Roman"/>
          <w:sz w:val="24"/>
          <w:szCs w:val="24"/>
        </w:rPr>
      </w:pPr>
    </w:p>
    <w:p w14:paraId="0000000B" w14:textId="77777777" w:rsidR="00DE2182"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Citations</w:t>
      </w:r>
    </w:p>
    <w:p w14:paraId="0000000C" w14:textId="77777777" w:rsidR="00DE2182"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Getachew, Adom. </w:t>
      </w:r>
      <w:r>
        <w:rPr>
          <w:rFonts w:ascii="Times New Roman" w:eastAsia="Times New Roman" w:hAnsi="Times New Roman" w:cs="Times New Roman"/>
          <w:i/>
          <w:sz w:val="24"/>
          <w:szCs w:val="24"/>
        </w:rPr>
        <w:t>Worldmaking after Empire</w:t>
      </w:r>
      <w:r>
        <w:rPr>
          <w:rFonts w:ascii="Times New Roman" w:eastAsia="Times New Roman" w:hAnsi="Times New Roman" w:cs="Times New Roman"/>
          <w:sz w:val="24"/>
          <w:szCs w:val="24"/>
        </w:rPr>
        <w:t>. Princeton: Princeton University Press, 2019.</w:t>
      </w:r>
    </w:p>
    <w:p w14:paraId="0000000D" w14:textId="77777777" w:rsidR="00DE2182"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Tamale, Sylvia. </w:t>
      </w:r>
      <w:r>
        <w:rPr>
          <w:rFonts w:ascii="Times New Roman" w:eastAsia="Times New Roman" w:hAnsi="Times New Roman" w:cs="Times New Roman"/>
          <w:i/>
          <w:sz w:val="24"/>
          <w:szCs w:val="24"/>
        </w:rPr>
        <w:t xml:space="preserve">Decolonization and Afro-Feminism. </w:t>
      </w:r>
      <w:r>
        <w:rPr>
          <w:rFonts w:ascii="Times New Roman" w:eastAsia="Times New Roman" w:hAnsi="Times New Roman" w:cs="Times New Roman"/>
          <w:sz w:val="24"/>
          <w:szCs w:val="24"/>
        </w:rPr>
        <w:t>Québec: Daraja Press, 2020.</w:t>
      </w:r>
    </w:p>
    <w:p w14:paraId="0000000E" w14:textId="77777777" w:rsidR="00DE2182"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Ransome-Kuti, Funmilayo. </w:t>
      </w:r>
      <w:r>
        <w:rPr>
          <w:rFonts w:ascii="Times New Roman" w:eastAsia="Times New Roman" w:hAnsi="Times New Roman" w:cs="Times New Roman"/>
          <w:i/>
          <w:sz w:val="24"/>
          <w:szCs w:val="24"/>
        </w:rPr>
        <w:t xml:space="preserve">The Status of Women in Nigeria. </w:t>
      </w:r>
      <w:r>
        <w:rPr>
          <w:rFonts w:ascii="Times New Roman" w:eastAsia="Times New Roman" w:hAnsi="Times New Roman" w:cs="Times New Roman"/>
          <w:sz w:val="24"/>
          <w:szCs w:val="24"/>
        </w:rPr>
        <w:t>Wilberforce: Central State College, 1961.</w:t>
      </w:r>
    </w:p>
    <w:p w14:paraId="0000000F" w14:textId="77777777" w:rsidR="00DE2182" w:rsidRDefault="00DE2182">
      <w:pPr>
        <w:spacing w:line="480" w:lineRule="auto"/>
        <w:rPr>
          <w:rFonts w:ascii="Times New Roman" w:eastAsia="Times New Roman" w:hAnsi="Times New Roman" w:cs="Times New Roman"/>
          <w:sz w:val="24"/>
          <w:szCs w:val="24"/>
        </w:rPr>
      </w:pPr>
    </w:p>
    <w:p w14:paraId="00000010" w14:textId="77777777" w:rsidR="00DE2182" w:rsidRDefault="00DE2182">
      <w:pPr>
        <w:spacing w:line="480" w:lineRule="auto"/>
        <w:rPr>
          <w:rFonts w:ascii="Times New Roman" w:eastAsia="Times New Roman" w:hAnsi="Times New Roman" w:cs="Times New Roman"/>
          <w:sz w:val="24"/>
          <w:szCs w:val="24"/>
        </w:rPr>
      </w:pPr>
    </w:p>
    <w:p w14:paraId="00000011" w14:textId="77777777" w:rsidR="00DE2182" w:rsidRDefault="00DE2182">
      <w:pPr>
        <w:spacing w:line="480" w:lineRule="auto"/>
        <w:rPr>
          <w:rFonts w:ascii="Times New Roman" w:eastAsia="Times New Roman" w:hAnsi="Times New Roman" w:cs="Times New Roman"/>
          <w:sz w:val="24"/>
          <w:szCs w:val="24"/>
        </w:rPr>
      </w:pPr>
    </w:p>
    <w:p w14:paraId="00000012" w14:textId="77777777" w:rsidR="00DE2182" w:rsidRDefault="00DE2182">
      <w:pPr>
        <w:spacing w:line="480" w:lineRule="auto"/>
        <w:rPr>
          <w:rFonts w:ascii="Times New Roman" w:eastAsia="Times New Roman" w:hAnsi="Times New Roman" w:cs="Times New Roman"/>
          <w:sz w:val="24"/>
          <w:szCs w:val="24"/>
        </w:rPr>
      </w:pPr>
    </w:p>
    <w:p w14:paraId="00000013" w14:textId="77777777" w:rsidR="00DE2182" w:rsidRDefault="00DE2182">
      <w:pPr>
        <w:spacing w:line="480" w:lineRule="auto"/>
        <w:rPr>
          <w:rFonts w:ascii="Times New Roman" w:eastAsia="Times New Roman" w:hAnsi="Times New Roman" w:cs="Times New Roman"/>
          <w:sz w:val="24"/>
          <w:szCs w:val="24"/>
        </w:rPr>
      </w:pPr>
    </w:p>
    <w:p w14:paraId="00000014" w14:textId="77777777" w:rsidR="00DE2182" w:rsidRDefault="00DE2182">
      <w:pPr>
        <w:spacing w:line="480" w:lineRule="auto"/>
        <w:rPr>
          <w:rFonts w:ascii="Times New Roman" w:eastAsia="Times New Roman" w:hAnsi="Times New Roman" w:cs="Times New Roman"/>
          <w:sz w:val="24"/>
          <w:szCs w:val="24"/>
        </w:rPr>
      </w:pPr>
    </w:p>
    <w:p w14:paraId="00000015" w14:textId="77777777" w:rsidR="00DE2182" w:rsidRDefault="00DE2182">
      <w:pPr>
        <w:spacing w:line="480" w:lineRule="auto"/>
        <w:rPr>
          <w:rFonts w:ascii="Times New Roman" w:eastAsia="Times New Roman" w:hAnsi="Times New Roman" w:cs="Times New Roman"/>
          <w:sz w:val="24"/>
          <w:szCs w:val="24"/>
        </w:rPr>
      </w:pPr>
    </w:p>
    <w:p w14:paraId="00000016" w14:textId="77777777" w:rsidR="00DE2182" w:rsidRDefault="00DE2182">
      <w:pPr>
        <w:spacing w:line="480" w:lineRule="auto"/>
        <w:rPr>
          <w:rFonts w:ascii="Times New Roman" w:eastAsia="Times New Roman" w:hAnsi="Times New Roman" w:cs="Times New Roman"/>
          <w:sz w:val="24"/>
          <w:szCs w:val="24"/>
        </w:rPr>
      </w:pPr>
    </w:p>
    <w:p w14:paraId="00000017" w14:textId="77777777" w:rsidR="00DE2182" w:rsidRDefault="00DE2182">
      <w:pPr>
        <w:spacing w:line="480" w:lineRule="auto"/>
        <w:rPr>
          <w:rFonts w:ascii="Times New Roman" w:eastAsia="Times New Roman" w:hAnsi="Times New Roman" w:cs="Times New Roman"/>
          <w:sz w:val="24"/>
          <w:szCs w:val="24"/>
        </w:rPr>
      </w:pPr>
    </w:p>
    <w:p w14:paraId="00000018" w14:textId="77777777" w:rsidR="00DE2182" w:rsidRDefault="00DE2182">
      <w:pPr>
        <w:spacing w:line="480" w:lineRule="auto"/>
        <w:rPr>
          <w:rFonts w:ascii="Times New Roman" w:eastAsia="Times New Roman" w:hAnsi="Times New Roman" w:cs="Times New Roman"/>
          <w:sz w:val="24"/>
          <w:szCs w:val="24"/>
        </w:rPr>
      </w:pPr>
    </w:p>
    <w:p w14:paraId="00000019" w14:textId="77777777" w:rsidR="00DE2182" w:rsidRDefault="00DE2182">
      <w:pPr>
        <w:spacing w:line="480" w:lineRule="auto"/>
        <w:rPr>
          <w:rFonts w:ascii="Times New Roman" w:eastAsia="Times New Roman" w:hAnsi="Times New Roman" w:cs="Times New Roman"/>
          <w:sz w:val="24"/>
          <w:szCs w:val="24"/>
        </w:rPr>
      </w:pPr>
    </w:p>
    <w:p w14:paraId="0000001A" w14:textId="77777777" w:rsidR="00DE2182" w:rsidRDefault="00DE2182">
      <w:pPr>
        <w:spacing w:line="480" w:lineRule="auto"/>
        <w:rPr>
          <w:rFonts w:ascii="Times New Roman" w:eastAsia="Times New Roman" w:hAnsi="Times New Roman" w:cs="Times New Roman"/>
          <w:sz w:val="24"/>
          <w:szCs w:val="24"/>
        </w:rPr>
      </w:pPr>
    </w:p>
    <w:p w14:paraId="0000001B" w14:textId="77777777" w:rsidR="00DE2182" w:rsidRDefault="00000000">
      <w:pPr>
        <w:spacing w:before="240" w:after="240" w:line="48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 have adhered to the Davidson Honor Code in carrying out this assignment. I want to thank Evan for giving me feedback in class, I also want to thank Professor </w:t>
      </w:r>
      <w:proofErr w:type="spellStart"/>
      <w:r>
        <w:rPr>
          <w:rFonts w:ascii="Times New Roman" w:eastAsia="Times New Roman" w:hAnsi="Times New Roman" w:cs="Times New Roman"/>
          <w:i/>
          <w:sz w:val="24"/>
          <w:szCs w:val="24"/>
        </w:rPr>
        <w:t>Wiemers</w:t>
      </w:r>
      <w:proofErr w:type="spellEnd"/>
      <w:r>
        <w:rPr>
          <w:rFonts w:ascii="Times New Roman" w:eastAsia="Times New Roman" w:hAnsi="Times New Roman" w:cs="Times New Roman"/>
          <w:i/>
          <w:sz w:val="24"/>
          <w:szCs w:val="24"/>
        </w:rPr>
        <w:t xml:space="preserve"> for her help and advice on my structure organization, as well as the Writing Center and Chat GPT for the assistance with sentence clarity.</w:t>
      </w:r>
    </w:p>
    <w:p w14:paraId="0000001C" w14:textId="77777777" w:rsidR="00DE2182" w:rsidRDefault="00DE2182">
      <w:pPr>
        <w:spacing w:line="480" w:lineRule="auto"/>
        <w:rPr>
          <w:rFonts w:ascii="Times New Roman" w:eastAsia="Times New Roman" w:hAnsi="Times New Roman" w:cs="Times New Roman"/>
          <w:sz w:val="24"/>
          <w:szCs w:val="24"/>
        </w:rPr>
      </w:pPr>
    </w:p>
    <w:p w14:paraId="0000001D" w14:textId="77777777" w:rsidR="00DE2182" w:rsidRDefault="00DE2182">
      <w:pPr>
        <w:spacing w:line="480" w:lineRule="auto"/>
        <w:jc w:val="both"/>
        <w:rPr>
          <w:rFonts w:ascii="Times New Roman" w:eastAsia="Times New Roman" w:hAnsi="Times New Roman" w:cs="Times New Roman"/>
          <w:sz w:val="24"/>
          <w:szCs w:val="24"/>
        </w:rPr>
      </w:pPr>
    </w:p>
    <w:sectPr w:rsidR="00DE218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06577" w14:textId="77777777" w:rsidR="002D7164" w:rsidRDefault="002D7164">
      <w:pPr>
        <w:spacing w:line="240" w:lineRule="auto"/>
      </w:pPr>
      <w:r>
        <w:separator/>
      </w:r>
    </w:p>
  </w:endnote>
  <w:endnote w:type="continuationSeparator" w:id="0">
    <w:p w14:paraId="0E9C79F1" w14:textId="77777777" w:rsidR="002D7164" w:rsidRDefault="002D71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FBB6" w14:textId="77777777" w:rsidR="002D7164" w:rsidRDefault="002D7164">
      <w:pPr>
        <w:spacing w:line="240" w:lineRule="auto"/>
      </w:pPr>
      <w:r>
        <w:separator/>
      </w:r>
    </w:p>
  </w:footnote>
  <w:footnote w:type="continuationSeparator" w:id="0">
    <w:p w14:paraId="3A1C645E" w14:textId="77777777" w:rsidR="002D7164" w:rsidRDefault="002D7164">
      <w:pPr>
        <w:spacing w:line="240" w:lineRule="auto"/>
      </w:pPr>
      <w:r>
        <w:continuationSeparator/>
      </w:r>
    </w:p>
  </w:footnote>
  <w:footnote w:id="1">
    <w:p w14:paraId="0000001E"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Adom Getachew,</w:t>
      </w:r>
      <w:r>
        <w:rPr>
          <w:rFonts w:ascii="Times New Roman" w:eastAsia="Times New Roman" w:hAnsi="Times New Roman" w:cs="Times New Roman"/>
          <w:i/>
          <w:sz w:val="20"/>
          <w:szCs w:val="20"/>
        </w:rPr>
        <w:t xml:space="preserve"> Worldmaking after Empire</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Princeton</w:t>
      </w:r>
      <w:proofErr w:type="gramEnd"/>
      <w:r>
        <w:rPr>
          <w:rFonts w:ascii="Times New Roman" w:eastAsia="Times New Roman" w:hAnsi="Times New Roman" w:cs="Times New Roman"/>
          <w:sz w:val="20"/>
          <w:szCs w:val="20"/>
        </w:rPr>
        <w:t>: Princeton University Press, 2019)</w:t>
      </w:r>
    </w:p>
  </w:footnote>
  <w:footnote w:id="2">
    <w:p w14:paraId="0000002D" w14:textId="77777777" w:rsidR="00DE2182"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Sylvia Tamale, </w:t>
      </w:r>
      <w:r>
        <w:rPr>
          <w:rFonts w:ascii="Times New Roman" w:eastAsia="Times New Roman" w:hAnsi="Times New Roman" w:cs="Times New Roman"/>
          <w:i/>
          <w:sz w:val="20"/>
          <w:szCs w:val="20"/>
        </w:rPr>
        <w:t xml:space="preserve">Decolonization and Afro-Feminism </w:t>
      </w:r>
      <w:r>
        <w:rPr>
          <w:rFonts w:ascii="Times New Roman" w:eastAsia="Times New Roman" w:hAnsi="Times New Roman" w:cs="Times New Roman"/>
          <w:sz w:val="20"/>
          <w:szCs w:val="20"/>
        </w:rPr>
        <w:t>(Québec: Daraja Press, 2020)</w:t>
      </w:r>
    </w:p>
  </w:footnote>
  <w:footnote w:id="3">
    <w:p w14:paraId="00000032" w14:textId="77777777" w:rsidR="00DE2182" w:rsidRDefault="00000000">
      <w:pPr>
        <w:spacing w:line="240" w:lineRule="auto"/>
        <w:rPr>
          <w:rFonts w:ascii="Times New Roman" w:eastAsia="Times New Roman" w:hAnsi="Times New Roman" w:cs="Times New Roman"/>
          <w:i/>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Funmilayo Ransome-Kuti, </w:t>
      </w:r>
      <w:r>
        <w:rPr>
          <w:rFonts w:ascii="Times New Roman" w:eastAsia="Times New Roman" w:hAnsi="Times New Roman" w:cs="Times New Roman"/>
          <w:i/>
          <w:sz w:val="20"/>
          <w:szCs w:val="20"/>
        </w:rPr>
        <w:t xml:space="preserve">The Status of Women in Nigeria </w:t>
      </w:r>
      <w:r>
        <w:rPr>
          <w:rFonts w:ascii="Times New Roman" w:eastAsia="Times New Roman" w:hAnsi="Times New Roman" w:cs="Times New Roman"/>
          <w:sz w:val="20"/>
          <w:szCs w:val="20"/>
        </w:rPr>
        <w:t>(Wilberforce: Central State College, 1961)</w:t>
      </w:r>
    </w:p>
  </w:footnote>
  <w:footnote w:id="4">
    <w:p w14:paraId="0000001F" w14:textId="77777777" w:rsidR="00DE2182"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Tamale, </w:t>
      </w:r>
      <w:r>
        <w:rPr>
          <w:rFonts w:ascii="Times New Roman" w:eastAsia="Times New Roman" w:hAnsi="Times New Roman" w:cs="Times New Roman"/>
          <w:i/>
          <w:sz w:val="20"/>
          <w:szCs w:val="20"/>
        </w:rPr>
        <w:t xml:space="preserve">Afro-Feminism, </w:t>
      </w:r>
      <w:r>
        <w:rPr>
          <w:rFonts w:ascii="Times New Roman" w:eastAsia="Times New Roman" w:hAnsi="Times New Roman" w:cs="Times New Roman"/>
          <w:sz w:val="20"/>
          <w:szCs w:val="20"/>
        </w:rPr>
        <w:t>5.</w:t>
      </w:r>
    </w:p>
  </w:footnote>
  <w:footnote w:id="5">
    <w:p w14:paraId="00000020" w14:textId="77777777" w:rsidR="00DE2182" w:rsidRDefault="00000000">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Getachew,</w:t>
      </w:r>
      <w:r>
        <w:rPr>
          <w:rFonts w:ascii="Times New Roman" w:eastAsia="Times New Roman" w:hAnsi="Times New Roman" w:cs="Times New Roman"/>
          <w:i/>
          <w:sz w:val="20"/>
          <w:szCs w:val="20"/>
        </w:rPr>
        <w:t xml:space="preserve"> Worldmaking, </w:t>
      </w:r>
      <w:r>
        <w:rPr>
          <w:rFonts w:ascii="Times New Roman" w:eastAsia="Times New Roman" w:hAnsi="Times New Roman" w:cs="Times New Roman"/>
          <w:sz w:val="20"/>
          <w:szCs w:val="20"/>
        </w:rPr>
        <w:t>3.</w:t>
      </w:r>
    </w:p>
  </w:footnote>
  <w:footnote w:id="6">
    <w:p w14:paraId="00000021"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2.</w:t>
      </w:r>
    </w:p>
  </w:footnote>
  <w:footnote w:id="7">
    <w:p w14:paraId="00000022"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5.</w:t>
      </w:r>
    </w:p>
  </w:footnote>
  <w:footnote w:id="8">
    <w:p w14:paraId="00000023"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Tamale, </w:t>
      </w:r>
      <w:r>
        <w:rPr>
          <w:rFonts w:ascii="Times New Roman" w:eastAsia="Times New Roman" w:hAnsi="Times New Roman" w:cs="Times New Roman"/>
          <w:i/>
          <w:sz w:val="20"/>
          <w:szCs w:val="20"/>
        </w:rPr>
        <w:t xml:space="preserve">Afro-Feminism, </w:t>
      </w:r>
      <w:r>
        <w:rPr>
          <w:rFonts w:ascii="Times New Roman" w:eastAsia="Times New Roman" w:hAnsi="Times New Roman" w:cs="Times New Roman"/>
          <w:sz w:val="20"/>
          <w:szCs w:val="20"/>
        </w:rPr>
        <w:t>3.</w:t>
      </w:r>
    </w:p>
  </w:footnote>
  <w:footnote w:id="9">
    <w:p w14:paraId="0000002E"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xiii.</w:t>
      </w:r>
    </w:p>
  </w:footnote>
  <w:footnote w:id="10">
    <w:p w14:paraId="0000002F"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Tamale, </w:t>
      </w:r>
      <w:r>
        <w:rPr>
          <w:rFonts w:ascii="Times New Roman" w:eastAsia="Times New Roman" w:hAnsi="Times New Roman" w:cs="Times New Roman"/>
          <w:i/>
          <w:sz w:val="20"/>
          <w:szCs w:val="20"/>
        </w:rPr>
        <w:t xml:space="preserve">Afro-Feminism, </w:t>
      </w:r>
      <w:r>
        <w:rPr>
          <w:rFonts w:ascii="Times New Roman" w:eastAsia="Times New Roman" w:hAnsi="Times New Roman" w:cs="Times New Roman"/>
          <w:sz w:val="20"/>
          <w:szCs w:val="20"/>
        </w:rPr>
        <w:t>7.</w:t>
      </w:r>
    </w:p>
  </w:footnote>
  <w:footnote w:id="11">
    <w:p w14:paraId="00000024"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p>
  </w:footnote>
  <w:footnote w:id="12">
    <w:p w14:paraId="00000030"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341.</w:t>
      </w:r>
    </w:p>
  </w:footnote>
  <w:footnote w:id="13">
    <w:p w14:paraId="00000025"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344.</w:t>
      </w:r>
    </w:p>
  </w:footnote>
  <w:footnote w:id="14">
    <w:p w14:paraId="00000031"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342.</w:t>
      </w:r>
    </w:p>
  </w:footnote>
  <w:footnote w:id="15">
    <w:p w14:paraId="00000026"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343.</w:t>
      </w:r>
    </w:p>
  </w:footnote>
  <w:footnote w:id="16">
    <w:p w14:paraId="00000027"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Tamale, </w:t>
      </w:r>
      <w:r>
        <w:rPr>
          <w:rFonts w:ascii="Times New Roman" w:eastAsia="Times New Roman" w:hAnsi="Times New Roman" w:cs="Times New Roman"/>
          <w:i/>
          <w:sz w:val="20"/>
          <w:szCs w:val="20"/>
        </w:rPr>
        <w:t xml:space="preserve">Afro-Feminism, </w:t>
      </w:r>
      <w:r>
        <w:rPr>
          <w:rFonts w:ascii="Times New Roman" w:eastAsia="Times New Roman" w:hAnsi="Times New Roman" w:cs="Times New Roman"/>
          <w:sz w:val="20"/>
          <w:szCs w:val="20"/>
        </w:rPr>
        <w:t>343-353</w:t>
      </w:r>
    </w:p>
  </w:footnote>
  <w:footnote w:id="17">
    <w:p w14:paraId="00000028"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354.</w:t>
      </w:r>
    </w:p>
  </w:footnote>
  <w:footnote w:id="18">
    <w:p w14:paraId="00000029"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Ransome-Kuti, </w:t>
      </w:r>
      <w:r>
        <w:rPr>
          <w:rFonts w:ascii="Times New Roman" w:eastAsia="Times New Roman" w:hAnsi="Times New Roman" w:cs="Times New Roman"/>
          <w:i/>
          <w:sz w:val="20"/>
          <w:szCs w:val="20"/>
        </w:rPr>
        <w:t xml:space="preserve">Nigeria, </w:t>
      </w:r>
      <w:r>
        <w:rPr>
          <w:rFonts w:ascii="Times New Roman" w:eastAsia="Times New Roman" w:hAnsi="Times New Roman" w:cs="Times New Roman"/>
          <w:sz w:val="20"/>
          <w:szCs w:val="20"/>
        </w:rPr>
        <w:t>67.</w:t>
      </w:r>
      <w:r>
        <w:rPr>
          <w:rFonts w:ascii="Times New Roman" w:eastAsia="Times New Roman" w:hAnsi="Times New Roman" w:cs="Times New Roman"/>
          <w:i/>
          <w:sz w:val="20"/>
          <w:szCs w:val="20"/>
        </w:rPr>
        <w:t xml:space="preserve"> </w:t>
      </w:r>
    </w:p>
  </w:footnote>
  <w:footnote w:id="19">
    <w:p w14:paraId="0000002A"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68.</w:t>
      </w:r>
    </w:p>
  </w:footnote>
  <w:footnote w:id="20">
    <w:p w14:paraId="0000002B"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69.</w:t>
      </w:r>
    </w:p>
  </w:footnote>
  <w:footnote w:id="21">
    <w:p w14:paraId="0000002C" w14:textId="77777777" w:rsidR="00DE218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3" w14:textId="77777777" w:rsidR="00DE2182" w:rsidRDefault="00DE218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182"/>
    <w:rsid w:val="002D7164"/>
    <w:rsid w:val="003957B2"/>
    <w:rsid w:val="00DE2182"/>
    <w:rsid w:val="00EB3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56EC4F"/>
  <w15:docId w15:val="{41006874-B14A-6843-BB3B-0377E2EA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1204A"/>
    <w:rPr>
      <w:b/>
      <w:bCs/>
    </w:rPr>
  </w:style>
  <w:style w:type="character" w:customStyle="1" w:styleId="CommentSubjectChar">
    <w:name w:val="Comment Subject Char"/>
    <w:basedOn w:val="CommentTextChar"/>
    <w:link w:val="CommentSubject"/>
    <w:uiPriority w:val="99"/>
    <w:semiHidden/>
    <w:rsid w:val="001120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qoKoM/3Jxi3j+o4MktNI9pLLwA==">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1381</Words>
  <Characters>7872</Characters>
  <Application>Microsoft Office Word</Application>
  <DocSecurity>0</DocSecurity>
  <Lines>65</Lines>
  <Paragraphs>18</Paragraphs>
  <ScaleCrop>false</ScaleCrop>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Bella</cp:lastModifiedBy>
  <cp:revision>2</cp:revision>
  <dcterms:created xsi:type="dcterms:W3CDTF">2024-12-06T15:22:00Z</dcterms:created>
  <dcterms:modified xsi:type="dcterms:W3CDTF">2025-04-28T21:05:00Z</dcterms:modified>
</cp:coreProperties>
</file>