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56926" w:rsidRDefault="00456926">
      <w:pPr>
        <w:pBdr>
          <w:top w:val="nil"/>
          <w:left w:val="nil"/>
          <w:bottom w:val="nil"/>
          <w:right w:val="nil"/>
          <w:between w:val="nil"/>
        </w:pBdr>
        <w:ind w:firstLine="0"/>
      </w:pPr>
    </w:p>
    <w:p w14:paraId="00000002" w14:textId="77777777" w:rsidR="00456926" w:rsidRDefault="00456926">
      <w:pPr>
        <w:pBdr>
          <w:top w:val="nil"/>
          <w:left w:val="nil"/>
          <w:bottom w:val="nil"/>
          <w:right w:val="nil"/>
          <w:between w:val="nil"/>
        </w:pBdr>
        <w:ind w:firstLine="0"/>
      </w:pPr>
    </w:p>
    <w:p w14:paraId="00000003" w14:textId="77777777" w:rsidR="00456926" w:rsidRDefault="00456926">
      <w:pPr>
        <w:pBdr>
          <w:top w:val="nil"/>
          <w:left w:val="nil"/>
          <w:bottom w:val="nil"/>
          <w:right w:val="nil"/>
          <w:between w:val="nil"/>
        </w:pBdr>
        <w:ind w:firstLine="0"/>
      </w:pPr>
    </w:p>
    <w:p w14:paraId="00000004" w14:textId="77777777" w:rsidR="00456926" w:rsidRDefault="00456926">
      <w:pPr>
        <w:pBdr>
          <w:top w:val="nil"/>
          <w:left w:val="nil"/>
          <w:bottom w:val="nil"/>
          <w:right w:val="nil"/>
          <w:between w:val="nil"/>
        </w:pBdr>
        <w:ind w:firstLine="0"/>
      </w:pPr>
    </w:p>
    <w:p w14:paraId="00000005" w14:textId="77777777" w:rsidR="00456926" w:rsidRDefault="00456926">
      <w:pPr>
        <w:pBdr>
          <w:top w:val="nil"/>
          <w:left w:val="nil"/>
          <w:bottom w:val="nil"/>
          <w:right w:val="nil"/>
          <w:between w:val="nil"/>
        </w:pBdr>
        <w:ind w:firstLine="0"/>
      </w:pPr>
    </w:p>
    <w:p w14:paraId="00000006" w14:textId="77777777" w:rsidR="00456926" w:rsidRDefault="00000000">
      <w:pPr>
        <w:pBdr>
          <w:top w:val="nil"/>
          <w:left w:val="nil"/>
          <w:bottom w:val="nil"/>
          <w:right w:val="nil"/>
          <w:between w:val="nil"/>
        </w:pBdr>
        <w:ind w:firstLine="0"/>
        <w:jc w:val="center"/>
      </w:pPr>
      <w:r>
        <w:t>Picking Up the Pieces: How Japanese Incarceration Affected the Japanese American Identity</w:t>
      </w:r>
    </w:p>
    <w:p w14:paraId="00000007" w14:textId="77777777" w:rsidR="00456926" w:rsidRDefault="00456926">
      <w:pPr>
        <w:pBdr>
          <w:top w:val="nil"/>
          <w:left w:val="nil"/>
          <w:bottom w:val="nil"/>
          <w:right w:val="nil"/>
          <w:between w:val="nil"/>
        </w:pBdr>
        <w:ind w:firstLine="0"/>
        <w:jc w:val="center"/>
        <w:rPr>
          <w:b/>
        </w:rPr>
      </w:pPr>
    </w:p>
    <w:p w14:paraId="00000008" w14:textId="77777777" w:rsidR="00456926" w:rsidRDefault="00456926">
      <w:pPr>
        <w:pBdr>
          <w:top w:val="nil"/>
          <w:left w:val="nil"/>
          <w:bottom w:val="nil"/>
          <w:right w:val="nil"/>
          <w:between w:val="nil"/>
        </w:pBdr>
        <w:ind w:firstLine="0"/>
        <w:jc w:val="center"/>
        <w:rPr>
          <w:b/>
        </w:rPr>
      </w:pPr>
    </w:p>
    <w:p w14:paraId="00000009" w14:textId="77777777" w:rsidR="00456926" w:rsidRDefault="00456926">
      <w:pPr>
        <w:pBdr>
          <w:top w:val="nil"/>
          <w:left w:val="nil"/>
          <w:bottom w:val="nil"/>
          <w:right w:val="nil"/>
          <w:between w:val="nil"/>
        </w:pBdr>
        <w:ind w:firstLine="0"/>
        <w:jc w:val="center"/>
        <w:rPr>
          <w:b/>
        </w:rPr>
      </w:pPr>
    </w:p>
    <w:p w14:paraId="0000000A" w14:textId="77777777" w:rsidR="00456926" w:rsidRDefault="00456926">
      <w:pPr>
        <w:pBdr>
          <w:top w:val="nil"/>
          <w:left w:val="nil"/>
          <w:bottom w:val="nil"/>
          <w:right w:val="nil"/>
          <w:between w:val="nil"/>
        </w:pBdr>
        <w:ind w:firstLine="0"/>
        <w:jc w:val="center"/>
        <w:rPr>
          <w:b/>
        </w:rPr>
      </w:pPr>
    </w:p>
    <w:p w14:paraId="0000000B" w14:textId="77777777" w:rsidR="00456926" w:rsidRDefault="00456926">
      <w:pPr>
        <w:pBdr>
          <w:top w:val="nil"/>
          <w:left w:val="nil"/>
          <w:bottom w:val="nil"/>
          <w:right w:val="nil"/>
          <w:between w:val="nil"/>
        </w:pBdr>
        <w:ind w:firstLine="0"/>
        <w:jc w:val="center"/>
        <w:rPr>
          <w:b/>
        </w:rPr>
      </w:pPr>
    </w:p>
    <w:p w14:paraId="0000000C" w14:textId="77777777" w:rsidR="00456926" w:rsidRDefault="00456926">
      <w:pPr>
        <w:pBdr>
          <w:top w:val="nil"/>
          <w:left w:val="nil"/>
          <w:bottom w:val="nil"/>
          <w:right w:val="nil"/>
          <w:between w:val="nil"/>
        </w:pBdr>
        <w:ind w:firstLine="0"/>
        <w:jc w:val="center"/>
        <w:rPr>
          <w:b/>
        </w:rPr>
      </w:pPr>
    </w:p>
    <w:p w14:paraId="0000000D" w14:textId="77777777" w:rsidR="00456926" w:rsidRDefault="00000000">
      <w:pPr>
        <w:pBdr>
          <w:top w:val="nil"/>
          <w:left w:val="nil"/>
          <w:bottom w:val="nil"/>
          <w:right w:val="nil"/>
          <w:between w:val="nil"/>
        </w:pBdr>
        <w:ind w:firstLine="0"/>
        <w:jc w:val="center"/>
      </w:pPr>
      <w:r>
        <w:t>Hannah Holmes</w:t>
      </w:r>
    </w:p>
    <w:p w14:paraId="0000000E" w14:textId="77777777" w:rsidR="00456926" w:rsidRDefault="00000000">
      <w:pPr>
        <w:pBdr>
          <w:top w:val="nil"/>
          <w:left w:val="nil"/>
          <w:bottom w:val="nil"/>
          <w:right w:val="nil"/>
          <w:between w:val="nil"/>
        </w:pBdr>
        <w:ind w:firstLine="0"/>
        <w:jc w:val="center"/>
      </w:pPr>
      <w:r>
        <w:t>Davidson College</w:t>
      </w:r>
    </w:p>
    <w:p w14:paraId="0000000F" w14:textId="77777777" w:rsidR="00456926" w:rsidRDefault="00000000">
      <w:pPr>
        <w:pBdr>
          <w:top w:val="nil"/>
          <w:left w:val="nil"/>
          <w:bottom w:val="nil"/>
          <w:right w:val="nil"/>
          <w:between w:val="nil"/>
        </w:pBdr>
        <w:ind w:firstLine="0"/>
        <w:jc w:val="center"/>
      </w:pPr>
      <w:r>
        <w:t>HIS 353: Asian American History</w:t>
      </w:r>
    </w:p>
    <w:p w14:paraId="00000010" w14:textId="77777777" w:rsidR="00456926" w:rsidRDefault="00000000">
      <w:pPr>
        <w:pBdr>
          <w:top w:val="nil"/>
          <w:left w:val="nil"/>
          <w:bottom w:val="nil"/>
          <w:right w:val="nil"/>
          <w:between w:val="nil"/>
        </w:pBdr>
        <w:ind w:firstLine="0"/>
        <w:jc w:val="center"/>
      </w:pPr>
      <w:r>
        <w:t>December 17, 2024</w:t>
      </w:r>
    </w:p>
    <w:p w14:paraId="00000011" w14:textId="77777777" w:rsidR="00456926" w:rsidRDefault="00456926">
      <w:pPr>
        <w:pBdr>
          <w:top w:val="nil"/>
          <w:left w:val="nil"/>
          <w:bottom w:val="nil"/>
          <w:right w:val="nil"/>
          <w:between w:val="nil"/>
        </w:pBdr>
        <w:ind w:firstLine="0"/>
      </w:pPr>
    </w:p>
    <w:p w14:paraId="00000012" w14:textId="77777777" w:rsidR="00456926" w:rsidRDefault="00456926">
      <w:pPr>
        <w:pBdr>
          <w:top w:val="nil"/>
          <w:left w:val="nil"/>
          <w:bottom w:val="nil"/>
          <w:right w:val="nil"/>
          <w:between w:val="nil"/>
        </w:pBdr>
        <w:ind w:firstLine="0"/>
      </w:pPr>
    </w:p>
    <w:p w14:paraId="00000013" w14:textId="77777777" w:rsidR="00456926" w:rsidRDefault="00456926">
      <w:pPr>
        <w:pBdr>
          <w:top w:val="nil"/>
          <w:left w:val="nil"/>
          <w:bottom w:val="nil"/>
          <w:right w:val="nil"/>
          <w:between w:val="nil"/>
        </w:pBdr>
        <w:ind w:firstLine="0"/>
      </w:pPr>
    </w:p>
    <w:p w14:paraId="00000014" w14:textId="77777777" w:rsidR="00456926" w:rsidRDefault="00456926">
      <w:pPr>
        <w:pBdr>
          <w:top w:val="nil"/>
          <w:left w:val="nil"/>
          <w:bottom w:val="nil"/>
          <w:right w:val="nil"/>
          <w:between w:val="nil"/>
        </w:pBdr>
        <w:ind w:firstLine="0"/>
      </w:pPr>
    </w:p>
    <w:p w14:paraId="00000015" w14:textId="77777777" w:rsidR="00456926" w:rsidRDefault="00456926">
      <w:pPr>
        <w:pBdr>
          <w:top w:val="nil"/>
          <w:left w:val="nil"/>
          <w:bottom w:val="nil"/>
          <w:right w:val="nil"/>
          <w:between w:val="nil"/>
        </w:pBdr>
        <w:ind w:firstLine="0"/>
      </w:pPr>
    </w:p>
    <w:p w14:paraId="00000016" w14:textId="77777777" w:rsidR="00456926" w:rsidRDefault="00456926">
      <w:pPr>
        <w:pBdr>
          <w:top w:val="nil"/>
          <w:left w:val="nil"/>
          <w:bottom w:val="nil"/>
          <w:right w:val="nil"/>
          <w:between w:val="nil"/>
        </w:pBdr>
        <w:ind w:firstLine="0"/>
      </w:pPr>
    </w:p>
    <w:p w14:paraId="00000017" w14:textId="77777777" w:rsidR="00456926" w:rsidRDefault="00456926">
      <w:pPr>
        <w:ind w:left="720" w:hanging="720"/>
      </w:pPr>
    </w:p>
    <w:p w14:paraId="00000018" w14:textId="1F31A76C" w:rsidR="00456926" w:rsidRDefault="00000000">
      <w:pPr>
        <w:rPr>
          <w:u w:val="single"/>
        </w:rPr>
      </w:pPr>
      <w:r>
        <w:lastRenderedPageBreak/>
        <w:t>In my high school’s U.S. History class, we spent 30 minutes on Japanese incarceration. It was, according to the textbook, a straightforward and complete</w:t>
      </w:r>
      <w:r w:rsidR="00BF3052">
        <w:rPr>
          <w:rStyle w:val="CommentReference"/>
        </w:rPr>
        <w:t xml:space="preserve"> </w:t>
      </w:r>
      <w:r w:rsidR="00BF3052">
        <w:rPr>
          <w:rStyle w:val="CommentReference"/>
          <w:sz w:val="24"/>
          <w:szCs w:val="24"/>
        </w:rPr>
        <w:t>s</w:t>
      </w:r>
      <w:r>
        <w:t>tory; the Japanese Army attacked Pearl Harbor, the United States government decided to incarcerate 120,000 Japanese Americans, and any other detail about life in the camps was haphazardly mentioned. What I remember most vividly was that we never covered what happened to Japanese Americans after the war ended. I had to assume that they went back to life as normal. This thought plagued me, especially when thinking about my own family history of Japanese immigration. How does a person go back to lif</w:t>
      </w:r>
      <w:r w:rsidR="00037CEF">
        <w:t>e as usual</w:t>
      </w:r>
      <w:r w:rsidR="00BF3052">
        <w:t xml:space="preserve"> </w:t>
      </w:r>
      <w:r>
        <w:t xml:space="preserve">after having </w:t>
      </w:r>
      <w:r w:rsidR="00BF3052">
        <w:t>all</w:t>
      </w:r>
      <w:r>
        <w:t xml:space="preserve"> their rights stripped away? How does one move forward? Although the culmination of anti-Japanese rhetoric can be seen through the incarceration of Japanese Americans by the United States government, the racism did not dissipate after they were released from the camps.</w:t>
      </w:r>
      <w:r w:rsidR="00BF3052">
        <w:t xml:space="preserve"> The</w:t>
      </w:r>
      <w:r>
        <w:t xml:space="preserve"> Japanese American identity was irrevocably damaged after their mass incarceration during World War II. This can be seen through the shifts and changes in anti-Japanese hate, the intergenerational trauma incurred by Japanese Americans, and the loss of connectivity to Japanese culture. Today, the trauma of incarceration is harming not only Japanese Americans but other non-White groups as well, as exemplified through the “model minority” myth.</w:t>
      </w:r>
      <w:r>
        <w:rPr>
          <w:u w:val="single"/>
        </w:rPr>
        <w:t xml:space="preserve"> </w:t>
      </w:r>
    </w:p>
    <w:p w14:paraId="00000019" w14:textId="77777777" w:rsidR="00456926" w:rsidRDefault="00000000">
      <w:pPr>
        <w:pStyle w:val="Heading1"/>
      </w:pPr>
      <w:bookmarkStart w:id="0" w:name="_heading=h.5lh2gxdl0td7" w:colFirst="0" w:colLast="0"/>
      <w:bookmarkEnd w:id="0"/>
      <w:r>
        <w:t>JAPANESE AMERICAN LIFE BEFORE AND DURING INCARCERATION</w:t>
      </w:r>
    </w:p>
    <w:p w14:paraId="0000001A" w14:textId="240DAA57" w:rsidR="00456926" w:rsidRDefault="00000000">
      <w:r>
        <w:t>The seed of anti-Asian and anti-Japanese hate was planted long before the attack on Pearl Harbor, beginning with the first encounters between American merchants and Chinese men in China. Extreme racial stereotypes of Asians began to form with contact between merchants in the eighteenth century.</w:t>
      </w:r>
      <w:r>
        <w:rPr>
          <w:vertAlign w:val="superscript"/>
        </w:rPr>
        <w:footnoteReference w:id="1"/>
      </w:r>
      <w:r>
        <w:t xml:space="preserve"> Americans looked down upon the Chinese and their culture, believing </w:t>
      </w:r>
      <w:r>
        <w:lastRenderedPageBreak/>
        <w:t>them to be “a people refined in cruelty, bloodthirsty, and inhuman.”</w:t>
      </w:r>
      <w:r>
        <w:rPr>
          <w:vertAlign w:val="superscript"/>
        </w:rPr>
        <w:footnoteReference w:id="2"/>
      </w:r>
      <w:r>
        <w:t xml:space="preserve"> Stereotypes of Chinese people being uncivilized, overly</w:t>
      </w:r>
      <w:r w:rsidR="00BF3052">
        <w:t xml:space="preserve"> </w:t>
      </w:r>
      <w:r>
        <w:t>sexual, and needing to be subdued transferred to all Asian peoples.</w:t>
      </w:r>
      <w:r>
        <w:rPr>
          <w:vertAlign w:val="superscript"/>
        </w:rPr>
        <w:footnoteReference w:id="3"/>
      </w:r>
      <w:r>
        <w:t xml:space="preserve"> Although different nationalities such as Chinese, Japanese, and Filipino all saw themselves as distinct from each other, Americans could not or would not see this distinction and treated them as a homogenous group. Therefore, the stereotypes that Americans had of the Chinese reflected across all Asian cultures that eventually came to America. Asian men were considered weak and “effeminate,” while Asian women were seen as erotic.</w:t>
      </w:r>
      <w:r>
        <w:rPr>
          <w:vertAlign w:val="superscript"/>
        </w:rPr>
        <w:footnoteReference w:id="4"/>
      </w:r>
      <w:r>
        <w:t xml:space="preserve"> These Orientalist stereotypes lead to the belief that Asian people could not be American. In James Phelan's essay, “Why the Chinese Should be Excluded,” he concedes that Chinese people are diligent laborers </w:t>
      </w:r>
      <w:r w:rsidR="00BF3052">
        <w:t>who</w:t>
      </w:r>
      <w:r>
        <w:t xml:space="preserve"> accept lower wages than their White counterparts.</w:t>
      </w:r>
      <w:r>
        <w:rPr>
          <w:vertAlign w:val="superscript"/>
        </w:rPr>
        <w:footnoteReference w:id="5"/>
      </w:r>
      <w:r>
        <w:t xml:space="preserve"> However, he claims that what they </w:t>
      </w:r>
      <w:r w:rsidR="00BF3052">
        <w:t xml:space="preserve">offer </w:t>
      </w:r>
      <w:r>
        <w:t>America through their labor does not justify allowing them to come to America because they “do not assimilate with American people and do not adopt American methods and ways.”</w:t>
      </w:r>
      <w:r>
        <w:rPr>
          <w:vertAlign w:val="superscript"/>
        </w:rPr>
        <w:footnoteReference w:id="6"/>
      </w:r>
      <w:r>
        <w:t xml:space="preserve"> This view of the Chinese being seen as unassimilable to American society becomes a stereotype that is passed on to Japanese Americans during World War II.</w:t>
      </w:r>
    </w:p>
    <w:p w14:paraId="0000001B" w14:textId="77777777" w:rsidR="00456926" w:rsidRDefault="00000000">
      <w:r>
        <w:t>Life before incarceration was not easy, but it was manageable for Asian Americans. Between 1924 and 1941, Kevin Allen Leonard argues that Asian people were not necessarily disturbed by the anti-Asian sentiment of American society. Due to segregation laws and the further prohibition of “immigration from Asia,” Asian people lived in their own “enclaves” that kept them separate and distinct from the rest of America.</w:t>
      </w:r>
      <w:r>
        <w:rPr>
          <w:vertAlign w:val="superscript"/>
        </w:rPr>
        <w:footnoteReference w:id="7"/>
      </w:r>
      <w:r>
        <w:t xml:space="preserve"> That is, until Pearl Harbor, when Japanese Americans realized that the anti-Asian hate was simply lurking beneath the surface. </w:t>
      </w:r>
    </w:p>
    <w:p w14:paraId="0000001C" w14:textId="7DA0CD9A" w:rsidR="00456926" w:rsidRDefault="00000000">
      <w:r>
        <w:lastRenderedPageBreak/>
        <w:t>Seemingly overnight, Japanese Americans were blamed for the attack on Pearl Harbor. According to Leonard, this is when the perception of Japanese Americans went from “the other” from Orientalism to an inherently disloyal group to the American government.</w:t>
      </w:r>
      <w:r>
        <w:rPr>
          <w:vertAlign w:val="superscript"/>
        </w:rPr>
        <w:footnoteReference w:id="8"/>
      </w:r>
      <w:r>
        <w:t xml:space="preserve"> The myth that was circulated by “Hollywood studios, politicians, reporters, and newspaper publishers” claimed that Japanese Americans were “spies” for the Japanese government, they were “unwaveringly loyal” to the Japanese Emperor, and </w:t>
      </w:r>
      <w:r w:rsidR="00BF3052">
        <w:t>t</w:t>
      </w:r>
      <w:r>
        <w:t>hey wanted to “take over the whole world.”</w:t>
      </w:r>
      <w:r>
        <w:rPr>
          <w:vertAlign w:val="superscript"/>
        </w:rPr>
        <w:footnoteReference w:id="9"/>
      </w:r>
      <w:r>
        <w:t xml:space="preserve"> Propaganda about Japan and the Japanese centered around not only their “inherent inferiority,” but also their “aggressive” and “bestial” nature.</w:t>
      </w:r>
      <w:r>
        <w:rPr>
          <w:vertAlign w:val="superscript"/>
        </w:rPr>
        <w:footnoteReference w:id="10"/>
      </w:r>
      <w:r>
        <w:t xml:space="preserve"> Using </w:t>
      </w:r>
      <w:r w:rsidR="00BF3052">
        <w:t>s</w:t>
      </w:r>
      <w:r>
        <w:t>imilar imagery for the Japanese as they did the Chinese in the eighteenth century, the Japanese were depicted as “beasts” and as “sexually depraved.”</w:t>
      </w:r>
      <w:r>
        <w:rPr>
          <w:vertAlign w:val="superscript"/>
        </w:rPr>
        <w:footnoteReference w:id="11"/>
      </w:r>
      <w:r>
        <w:t xml:space="preserve"> The fear of Japanese Americans, caused in part by the overwhelming amount of propaganda, led to their forced removal from their homes and incarceration by the War Relocation Agency in 1942.</w:t>
      </w:r>
      <w:r>
        <w:rPr>
          <w:vertAlign w:val="superscript"/>
        </w:rPr>
        <w:footnoteReference w:id="12"/>
      </w:r>
      <w:r>
        <w:t xml:space="preserve">  </w:t>
      </w:r>
    </w:p>
    <w:p w14:paraId="0000001E" w14:textId="5AA0209E" w:rsidR="00456926" w:rsidRDefault="00000000" w:rsidP="00037CEF">
      <w:r>
        <w:t xml:space="preserve">In many ways, the experiences in the camps were a constant reminder </w:t>
      </w:r>
      <w:r w:rsidR="00BF3052">
        <w:t>of t</w:t>
      </w:r>
      <w:r>
        <w:t xml:space="preserve">he </w:t>
      </w:r>
      <w:proofErr w:type="spellStart"/>
      <w:r>
        <w:t>incarcerees</w:t>
      </w:r>
      <w:proofErr w:type="spellEnd"/>
      <w:r>
        <w:t xml:space="preserve"> of the racial stereotypes that were being placed onto them. Once Japanese Americans were removed from their homes, they were first put into “assembly centers,” which were barracks that were hastily built and acted as temporary holding place</w:t>
      </w:r>
      <w:r w:rsidR="00BF3052">
        <w:t>s</w:t>
      </w:r>
      <w:r>
        <w:t xml:space="preserve"> while the more permanent camps were being built. They ranged from poorly built barracks to horse stables.</w:t>
      </w:r>
      <w:r>
        <w:rPr>
          <w:vertAlign w:val="superscript"/>
        </w:rPr>
        <w:footnoteReference w:id="13"/>
      </w:r>
      <w:r>
        <w:t xml:space="preserve"> After a few months, they were moved to the “War Relocation Centers,” where </w:t>
      </w:r>
      <w:proofErr w:type="spellStart"/>
      <w:r>
        <w:t>incarcerees</w:t>
      </w:r>
      <w:proofErr w:type="spellEnd"/>
      <w:r>
        <w:t xml:space="preserve"> spent anywhere from “a few months to four years.”</w:t>
      </w:r>
      <w:r>
        <w:rPr>
          <w:vertAlign w:val="superscript"/>
        </w:rPr>
        <w:footnoteReference w:id="14"/>
      </w:r>
      <w:r>
        <w:t xml:space="preserve"> The conditions of the incarcerations were not adequate at all. There was </w:t>
      </w:r>
      <w:r>
        <w:lastRenderedPageBreak/>
        <w:t>little to no privacy in the latrines, and multiple families were forced to share one barrack. This led to the rise of sexual violence and assault in the camps.</w:t>
      </w:r>
      <w:r>
        <w:rPr>
          <w:vertAlign w:val="superscript"/>
        </w:rPr>
        <w:footnoteReference w:id="15"/>
      </w:r>
      <w:r>
        <w:t xml:space="preserve"> The food was not modeled after Japanese cuisine and </w:t>
      </w:r>
      <w:r w:rsidR="00BF3052">
        <w:t xml:space="preserve">was </w:t>
      </w:r>
      <w:r>
        <w:t>oftentimes inedible. Many victims cited that their food was moldy, covered in maggots, or rotten. They also had the same things to eat over and over, including stew, apple butter, Vienna sausages, and more.</w:t>
      </w:r>
      <w:r>
        <w:rPr>
          <w:vertAlign w:val="superscript"/>
        </w:rPr>
        <w:footnoteReference w:id="16"/>
      </w:r>
      <w:r>
        <w:t xml:space="preserve"> Although the War Relocation Agency claimed the barbed wire fences that surrounded the camps were meant to protect the Japanese Americans, many formerly incarcerated noted that the guns sitting on top faced into the camp, not outside of it.</w:t>
      </w:r>
      <w:r>
        <w:rPr>
          <w:vertAlign w:val="superscript"/>
        </w:rPr>
        <w:footnoteReference w:id="17"/>
      </w:r>
      <w:r>
        <w:t xml:space="preserve"> This indicated that the Japanese Americans were constantly being surveilled, most likely due to the stereotype that they were disloyal or untrustworthy. Finally, when it was time to be released from the incarceration camps, the </w:t>
      </w:r>
      <w:proofErr w:type="spellStart"/>
      <w:r>
        <w:t>incarcerees</w:t>
      </w:r>
      <w:proofErr w:type="spellEnd"/>
      <w:r>
        <w:t xml:space="preserve"> were given what came to be known as “The Loyalty Questionnaire.” They were meant to be simple “yes or no” questions, and if a person did not answer “correctly” or wrote down</w:t>
      </w:r>
      <w:r w:rsidR="00037CEF">
        <w:t xml:space="preserve"> any</w:t>
      </w:r>
      <w:r>
        <w:t xml:space="preserve"> </w:t>
      </w:r>
      <w:r w:rsidR="00037CEF">
        <w:t xml:space="preserve">additional </w:t>
      </w:r>
      <w:r>
        <w:t>information they were called in for an interrogation.</w:t>
      </w:r>
      <w:r>
        <w:rPr>
          <w:vertAlign w:val="superscript"/>
        </w:rPr>
        <w:footnoteReference w:id="18"/>
      </w:r>
      <w:r>
        <w:t xml:space="preserve"> Two of the most controversial questions were Questions 27 and 28. “Question 27 asked if </w:t>
      </w:r>
      <w:proofErr w:type="spellStart"/>
      <w:r>
        <w:t>incarcerees</w:t>
      </w:r>
      <w:proofErr w:type="spellEnd"/>
      <w:r>
        <w:t xml:space="preserve"> were willing to serve in the armed forces,” which led people to believe they would be drafted. Question 28 asked</w:t>
      </w:r>
      <w:r w:rsidR="00BF3052">
        <w:t>,</w:t>
      </w:r>
      <w:r>
        <w:t xml:space="preserve"> “Do you forswear allegiance to the Emperor of Japan?” Rumor spread that it was a trick question, and by saying yes “you were confessing to having </w:t>
      </w:r>
      <w:r>
        <w:rPr>
          <w:i/>
        </w:rPr>
        <w:t>had</w:t>
      </w:r>
      <w:r>
        <w:t xml:space="preserve"> allegiance to the emperor.”</w:t>
      </w:r>
      <w:r>
        <w:rPr>
          <w:vertAlign w:val="superscript"/>
        </w:rPr>
        <w:footnoteReference w:id="19"/>
      </w:r>
      <w:r>
        <w:t xml:space="preserve"> Throughout their experience in the incarceration camps, Japanese </w:t>
      </w:r>
      <w:proofErr w:type="spellStart"/>
      <w:r>
        <w:t>incarcerees</w:t>
      </w:r>
      <w:proofErr w:type="spellEnd"/>
      <w:r>
        <w:t xml:space="preserve"> were reminded that they were not considered American</w:t>
      </w:r>
      <w:r w:rsidR="00BF3052">
        <w:t xml:space="preserve">, </w:t>
      </w:r>
      <w:r>
        <w:t xml:space="preserve">and that they were unwelcome in the United States. After four years of reminders of their “disloyal nature,” </w:t>
      </w:r>
      <w:r>
        <w:lastRenderedPageBreak/>
        <w:t xml:space="preserve">Japanese Americans were released from the incarceration camps, </w:t>
      </w:r>
      <w:r w:rsidR="00BF3052">
        <w:t xml:space="preserve">and </w:t>
      </w:r>
      <w:r>
        <w:t>back into a society that had resented them beyond measure.</w:t>
      </w:r>
    </w:p>
    <w:p w14:paraId="0000001F" w14:textId="77777777" w:rsidR="00456926" w:rsidRDefault="00000000">
      <w:pPr>
        <w:pStyle w:val="Heading1"/>
      </w:pPr>
      <w:bookmarkStart w:id="1" w:name="_heading=h.on97smy36hbb" w:colFirst="0" w:colLast="0"/>
      <w:bookmarkEnd w:id="1"/>
      <w:r>
        <w:t>REBUILDING AND RETURNING AFTER INCARCERATION</w:t>
      </w:r>
    </w:p>
    <w:p w14:paraId="00000020" w14:textId="5D265DB6" w:rsidR="00456926" w:rsidRDefault="00000000">
      <w:r>
        <w:t>With anywhere between $14-$25 and a train ticket to the destination of their choice, Japanese Americans were released from their incarceration camps by the WRA.</w:t>
      </w:r>
      <w:r>
        <w:rPr>
          <w:vertAlign w:val="superscript"/>
        </w:rPr>
        <w:footnoteReference w:id="20"/>
      </w:r>
      <w:r>
        <w:t xml:space="preserve"> The anti-Japanese sentiment that had been building for about 4 years did not go away overnight. There were some crusades launched by citizens “to prevent [their] return to the West Coast,” such as a pamphlet printed in Washington titled “The Japs Must Not Come Back!” During the War, John Lechner traveled across California “delivering anti-Japanese American speeches and distributing leaflets.” Two people who saw one of these speeches claimed that “The hate spewed there convinced us that what Hitler accomplished in Germany can be duplicated here.”</w:t>
      </w:r>
      <w:r>
        <w:rPr>
          <w:vertAlign w:val="superscript"/>
        </w:rPr>
        <w:footnoteReference w:id="21"/>
      </w:r>
    </w:p>
    <w:p w14:paraId="00000021" w14:textId="069EA231" w:rsidR="00456926" w:rsidRDefault="00000000">
      <w:r>
        <w:t xml:space="preserve">Those who tried to return to their homes faced the most direct and unabashed hate crimes immediately upon arriving </w:t>
      </w:r>
      <w:r w:rsidR="00BF3052">
        <w:t>on</w:t>
      </w:r>
      <w:r>
        <w:t xml:space="preserve"> the West Coast. Across California, “night riders shot into houses… Arsonists destroyed evacuees’ property…” and in some cases, both at the same time.</w:t>
      </w:r>
      <w:r>
        <w:rPr>
          <w:vertAlign w:val="superscript"/>
        </w:rPr>
        <w:footnoteReference w:id="22"/>
      </w:r>
      <w:r>
        <w:t xml:space="preserve"> Due to this, less than 1,300 Japanese Americans had returned to California by April of 1945.</w:t>
      </w:r>
      <w:r>
        <w:rPr>
          <w:vertAlign w:val="superscript"/>
        </w:rPr>
        <w:footnoteReference w:id="23"/>
      </w:r>
      <w:r>
        <w:t xml:space="preserve"> Not only were they intimidated by the violence that awaited them, </w:t>
      </w:r>
      <w:r w:rsidR="00BF3052">
        <w:t>but many also</w:t>
      </w:r>
      <w:r>
        <w:t xml:space="preserve"> attempted to return to their homes to no avail. Many Americans were horrified by these </w:t>
      </w:r>
      <w:proofErr w:type="gramStart"/>
      <w:r>
        <w:t>racially-motivated</w:t>
      </w:r>
      <w:proofErr w:type="gramEnd"/>
      <w:r>
        <w:t xml:space="preserve"> violent attacks but turned a blind eye towards more subtle forms of racism.</w:t>
      </w:r>
      <w:r>
        <w:rPr>
          <w:vertAlign w:val="superscript"/>
        </w:rPr>
        <w:footnoteReference w:id="24"/>
      </w:r>
      <w:r>
        <w:t xml:space="preserve"> This, Leonard argues, marks the beginning of a shift in the way racism was enacted on Japanese Americans. This shift was solidified when Proposition 15 went to the ballots of California voters in 1946. </w:t>
      </w:r>
      <w:r>
        <w:lastRenderedPageBreak/>
        <w:t>The amendment “would have incorporated Alien Land Law and several amendments into the state constitution,” which would have cemented “the state’s continued persecution of Japanese Americans.”</w:t>
      </w:r>
      <w:r>
        <w:rPr>
          <w:vertAlign w:val="superscript"/>
        </w:rPr>
        <w:footnoteReference w:id="25"/>
      </w:r>
      <w:r>
        <w:t xml:space="preserve"> Although many politicians and spokesmen</w:t>
      </w:r>
      <w:r w:rsidR="00BF3052">
        <w:t xml:space="preserve"> were</w:t>
      </w:r>
      <w:r>
        <w:t xml:space="preserve"> advocating for the amendment, Proposition 15 was ultimately rejected by California voters. Therefore, anti-Japanese sentiment had shifted from outward and visible racism before and during incarceration, to a more subtle and complicated form after World War II ended.</w:t>
      </w:r>
    </w:p>
    <w:p w14:paraId="00000022" w14:textId="519B3D49" w:rsidR="00456926" w:rsidRDefault="00000000">
      <w:r>
        <w:t>If Japanese Americans did not want to return to the West Coast, another option was to move to the South. In a similar fashion to the West Coast, Japanese Americans were not welcomed with open arms. Before 1940, very few Japanese Americans had been to the South. By 1943, Japanese Americans were being put into incarceration camps in Arkansas, and Japanese American recruits were being trained in military bases across the South.</w:t>
      </w:r>
      <w:r>
        <w:rPr>
          <w:vertAlign w:val="superscript"/>
        </w:rPr>
        <w:footnoteReference w:id="26"/>
      </w:r>
      <w:r>
        <w:t xml:space="preserve"> For the Jim Crow era South, the influx of Japanese Americans was seen as a threat to undermine the binary system that was in place. They were not considered </w:t>
      </w:r>
      <w:r w:rsidR="00037CEF">
        <w:t>“</w:t>
      </w:r>
      <w:r>
        <w:t>White,</w:t>
      </w:r>
      <w:r w:rsidR="00037CEF">
        <w:t>”</w:t>
      </w:r>
      <w:r>
        <w:t xml:space="preserve"> yet they were not considered “Black” either. Therefore, they were considered a “Third Race” that was unable to fit into the Jim Crow mold of the </w:t>
      </w:r>
      <w:r w:rsidR="00BF3052">
        <w:t>S</w:t>
      </w:r>
      <w:r>
        <w:t>outh.</w:t>
      </w:r>
      <w:r>
        <w:rPr>
          <w:vertAlign w:val="superscript"/>
        </w:rPr>
        <w:footnoteReference w:id="27"/>
      </w:r>
      <w:r>
        <w:t xml:space="preserve"> The Jim Crow laws were supposed to </w:t>
      </w:r>
      <w:r w:rsidR="00BF3052">
        <w:t xml:space="preserve">follow </w:t>
      </w:r>
      <w:r>
        <w:t>a natural order, but if a race of people didn’t really fit, then is it really an inherent system that must be in place? As Jason Morgan Ward states, “Jim Crow forced Japanese Americans to navigate a social system in which their status was ambiguous at best.”</w:t>
      </w:r>
      <w:r>
        <w:rPr>
          <w:vertAlign w:val="superscript"/>
        </w:rPr>
        <w:footnoteReference w:id="28"/>
      </w:r>
      <w:r>
        <w:t xml:space="preserve"> To try and solve this problem, Japanese Americans were granted “some privileges of whiteness to isolate them from African Americans,” but they were still discriminated against “in explicitly racial terms.”</w:t>
      </w:r>
      <w:r>
        <w:rPr>
          <w:vertAlign w:val="superscript"/>
        </w:rPr>
        <w:footnoteReference w:id="29"/>
      </w:r>
      <w:r>
        <w:t xml:space="preserve"> Although Japanese Americans were </w:t>
      </w:r>
      <w:r>
        <w:lastRenderedPageBreak/>
        <w:t>technically considered “superior” to Black Americans, they were not at all considered equal to White Americans. Ward claims that “German and Italian POWs had more access to southern society than interned Japanese Americans did.”</w:t>
      </w:r>
      <w:r>
        <w:rPr>
          <w:vertAlign w:val="superscript"/>
        </w:rPr>
        <w:footnoteReference w:id="30"/>
      </w:r>
      <w:r>
        <w:t xml:space="preserve"> The growing presence of Japanese Americans in the South during and after World War II revealed the inconsistencies and “vulnerability of segregation.”</w:t>
      </w:r>
      <w:r>
        <w:rPr>
          <w:vertAlign w:val="superscript"/>
        </w:rPr>
        <w:footnoteReference w:id="31"/>
      </w:r>
      <w:r>
        <w:t xml:space="preserve"> Although this exposure should be considered a good outcome, Japanese Americans still had to face the brunt of racism after being released from the Camps. In other words, it was very difficult—if not impossible—to find a place in the United States where they would not be racially harassed.</w:t>
      </w:r>
    </w:p>
    <w:p w14:paraId="00000023" w14:textId="4E12BF41" w:rsidR="00456926" w:rsidRDefault="00000000">
      <w:pPr>
        <w:pStyle w:val="Heading1"/>
      </w:pPr>
      <w:bookmarkStart w:id="2" w:name="_heading=h.60qaeo2ho1q1" w:colFirst="0" w:colLast="0"/>
      <w:bookmarkEnd w:id="2"/>
      <w:r>
        <w:t>THE LONG</w:t>
      </w:r>
      <w:r w:rsidR="00BE6BDA">
        <w:t>-</w:t>
      </w:r>
      <w:r>
        <w:t>LASTING EFFECTS OF JAPANESE INCARCERATION</w:t>
      </w:r>
    </w:p>
    <w:p w14:paraId="00000024" w14:textId="088D1CE3" w:rsidR="00456926" w:rsidRDefault="00000000">
      <w:r>
        <w:t xml:space="preserve">Japanese Americans experienced both </w:t>
      </w:r>
      <w:r w:rsidR="00BE6BDA">
        <w:t>c</w:t>
      </w:r>
      <w:r>
        <w:t>ultural and individual trauma from being incarcerated, which they carried with them throughout their lives. Individual trauma shatters a person’s “assumptive world, sense of self, and well-being,” while cultural trauma is experienced as a group and forever changes their future identity.</w:t>
      </w:r>
      <w:r>
        <w:rPr>
          <w:vertAlign w:val="superscript"/>
        </w:rPr>
        <w:footnoteReference w:id="32"/>
      </w:r>
      <w:r>
        <w:t xml:space="preserve"> Because their trauma was not processed as a culture, “the impacts were contained primarily at the individual trauma level.”</w:t>
      </w:r>
      <w:r>
        <w:rPr>
          <w:vertAlign w:val="superscript"/>
        </w:rPr>
        <w:footnoteReference w:id="33"/>
      </w:r>
      <w:r>
        <w:t xml:space="preserve"> Many Nisei—or the American-born children of Japanese immigrants, known as the Second generation—could not seek support from other Nisei “since the government advised them not [to] live next to or congregate in public with other Japanese Americans.”</w:t>
      </w:r>
      <w:r>
        <w:rPr>
          <w:vertAlign w:val="superscript"/>
        </w:rPr>
        <w:footnoteReference w:id="34"/>
      </w:r>
      <w:r>
        <w:t xml:space="preserve"> This stunted many Nisei from talking about or acknowledging their traumatic experiences.</w:t>
      </w:r>
    </w:p>
    <w:p w14:paraId="00000025" w14:textId="733C7843" w:rsidR="00456926" w:rsidRDefault="00000000">
      <w:r>
        <w:t xml:space="preserve">One of the main responses to the trauma of incarceration was to become </w:t>
      </w:r>
      <w:r w:rsidR="00BE6BDA">
        <w:t>a m</w:t>
      </w:r>
      <w:r>
        <w:t xml:space="preserve">odel American citizen. To do this, they attempted to assimilate into American culture by repressing </w:t>
      </w:r>
      <w:r>
        <w:lastRenderedPageBreak/>
        <w:t>their Japanese cultural identity. In addition, they remained silent on the topic of incarceration altogether, which affected Japanese Americans’ physical health. Some theories state that Nisei experienced “psychosomatic disorders, peptic ulcers, and depression” and a higher risk of cardiovascular disease due to the silence around their trauma.</w:t>
      </w:r>
      <w:r>
        <w:rPr>
          <w:vertAlign w:val="superscript"/>
        </w:rPr>
        <w:footnoteReference w:id="35"/>
      </w:r>
      <w:r>
        <w:t xml:space="preserve"> Their silence not only affected the Nisei, but also the Sansei, or the generation that came after. According to one study, members of the Sansei generation with parents who were incarcerated are more likely to feel insecure about their American rights than a Sansei with no connection to Japanese incarceration.</w:t>
      </w:r>
      <w:r>
        <w:rPr>
          <w:vertAlign w:val="superscript"/>
        </w:rPr>
        <w:footnoteReference w:id="36"/>
      </w:r>
      <w:r>
        <w:t xml:space="preserve"> One author states that the Sansei generation inherited a sense of shame instead of “</w:t>
      </w:r>
      <w:proofErr w:type="spellStart"/>
      <w:r>
        <w:t>Japaneseness</w:t>
      </w:r>
      <w:proofErr w:type="spellEnd"/>
      <w:r>
        <w:t>.”</w:t>
      </w:r>
      <w:r>
        <w:rPr>
          <w:vertAlign w:val="superscript"/>
        </w:rPr>
        <w:footnoteReference w:id="37"/>
      </w:r>
    </w:p>
    <w:p w14:paraId="00000026" w14:textId="33F6C511" w:rsidR="00456926" w:rsidRDefault="00000000">
      <w:r>
        <w:t xml:space="preserve">After suppressing their Japanese cultural identity in an attempt to be seen as fully American, anthropologist </w:t>
      </w:r>
      <w:proofErr w:type="spellStart"/>
      <w:r>
        <w:t>Takeyuki</w:t>
      </w:r>
      <w:proofErr w:type="spellEnd"/>
      <w:r>
        <w:t xml:space="preserve"> Tsuda claims that Japanese Americans no longer have a diasporic connection with their homeland. He gives an example of Jewish diasporic identity as a shared sense of community and connectedness between Jewish people around the world “based on a sense of affinity with Israel.”</w:t>
      </w:r>
      <w:r>
        <w:rPr>
          <w:vertAlign w:val="superscript"/>
        </w:rPr>
        <w:footnoteReference w:id="38"/>
      </w:r>
      <w:r>
        <w:t xml:space="preserve"> This is not the case with Japanese Americans and other Japanese ethnic communities around the world. Through interviews he conducted </w:t>
      </w:r>
      <w:r w:rsidR="00BE6BDA">
        <w:t xml:space="preserve">with </w:t>
      </w:r>
      <w:r>
        <w:t>different groups of Japanese groups around the world, he found that most of the Japanese diaspora tended to associate more with their current country than with Japan. One person spoke about how their conversation felt as though it were between an “American versus Brazilian” instead of Japanese American and Japanese Brazilian.</w:t>
      </w:r>
      <w:r>
        <w:rPr>
          <w:vertAlign w:val="superscript"/>
        </w:rPr>
        <w:footnoteReference w:id="39"/>
      </w:r>
      <w:r>
        <w:t xml:space="preserve"> Although the Japanese diasporic connection is not as strong as other diaspora communities in general, it is especially weak with Japanese Americans. Many </w:t>
      </w:r>
      <w:r>
        <w:lastRenderedPageBreak/>
        <w:t>Japanese Americans stated that they felt “less culturally Japanese” than those they spoke to from South American countries, “making it harder to relate to them.”</w:t>
      </w:r>
      <w:r>
        <w:rPr>
          <w:vertAlign w:val="superscript"/>
        </w:rPr>
        <w:footnoteReference w:id="40"/>
      </w:r>
      <w:r>
        <w:t xml:space="preserve"> </w:t>
      </w:r>
    </w:p>
    <w:p w14:paraId="00000027" w14:textId="26AABAD9" w:rsidR="00456926" w:rsidRDefault="00000000">
      <w:r>
        <w:t xml:space="preserve">I feel that my experiences as the granddaughter of a Japanese immigrant reflect the theories that </w:t>
      </w:r>
      <w:proofErr w:type="spellStart"/>
      <w:r>
        <w:t>Takeyuki</w:t>
      </w:r>
      <w:proofErr w:type="spellEnd"/>
      <w:r>
        <w:t xml:space="preserve"> Tsuda raises. My grandmother immigrated from Japan to America in 1967 and was not a victim of Japanese incarceration. Our bi-racial family has always made it a point to uphold our Japanese culture and traditions. For instance, we often cook and eat Japanese dishes, my middle name is my grandmother’s name, and more. My family does not carry the intergenerational trauma of Japanese incarceration and do</w:t>
      </w:r>
      <w:r w:rsidR="00BE6BDA">
        <w:t>es</w:t>
      </w:r>
      <w:r>
        <w:t xml:space="preserve"> not feel </w:t>
      </w:r>
      <w:r w:rsidR="00072B72">
        <w:t>the</w:t>
      </w:r>
      <w:r>
        <w:t xml:space="preserve"> need to suppress our Japanese heritage to be more American. However, my mother and her siblings experienced a loss of culture when they moved to America. Being half-White and half-Japanese, my mother will sometimes discuss her feelings as a child: “We weren’t White enough in America, and we weren’t Japanese enough in Japan.” She also is no longer able to speak Japanese despite it being her first language. When it was time to move to America, Japanese </w:t>
      </w:r>
      <w:commentRangeStart w:id="3"/>
      <w:r>
        <w:t xml:space="preserve">was </w:t>
      </w:r>
      <w:commentRangeEnd w:id="3"/>
      <w:r w:rsidR="00AF6E4F">
        <w:rPr>
          <w:rStyle w:val="CommentReference"/>
        </w:rPr>
        <w:commentReference w:id="3"/>
      </w:r>
      <w:r>
        <w:t xml:space="preserve">forbidden in their home </w:t>
      </w:r>
      <w:proofErr w:type="gramStart"/>
      <w:r w:rsidR="009A3FC8">
        <w:t>in order to</w:t>
      </w:r>
      <w:proofErr w:type="gramEnd"/>
      <w:r w:rsidR="009A3FC8">
        <w:t xml:space="preserve"> </w:t>
      </w:r>
      <w:r>
        <w:t xml:space="preserve">learn English. Now, my mother and her siblings can only understand and translate the language. My cousins and I were never taught Japanese in our home, causing a complete loss of language within our family. This, unfortunately, was a by-product of assimilation into American culture. </w:t>
      </w:r>
    </w:p>
    <w:p w14:paraId="00000028" w14:textId="1891D95C" w:rsidR="00456926" w:rsidRDefault="00000000">
      <w:r>
        <w:t>Japanese Americans are not the only ones who have been impacted by Japanese incarceration; the “model minority myth” is now affecting other non-White</w:t>
      </w:r>
      <w:r w:rsidR="009A3FC8">
        <w:t xml:space="preserve"> racial</w:t>
      </w:r>
      <w:r>
        <w:t xml:space="preserve"> groups in America. The model minority myth is the belief that Asian Americans are the prime example of what being a non-White group should be because they have assimilated so well into American culture despite the racism they have faced. In response to the Civil Rights movement, an article </w:t>
      </w:r>
      <w:r>
        <w:lastRenderedPageBreak/>
        <w:t xml:space="preserve">in the </w:t>
      </w:r>
      <w:r>
        <w:rPr>
          <w:i/>
        </w:rPr>
        <w:t>U.S. News &amp; World Report</w:t>
      </w:r>
      <w:r>
        <w:t xml:space="preserve"> celebrat</w:t>
      </w:r>
      <w:r w:rsidR="00BE6BDA">
        <w:t>es</w:t>
      </w:r>
      <w:r>
        <w:t xml:space="preserve"> the “success” of Asian people in America. The article claims that Asian Americans “were faced with even more prejudice than faces the Negro.”</w:t>
      </w:r>
      <w:r>
        <w:rPr>
          <w:vertAlign w:val="superscript"/>
        </w:rPr>
        <w:footnoteReference w:id="41"/>
      </w:r>
      <w:r>
        <w:t xml:space="preserve"> By making this argument, the author was attempting to uphold the power systems in place and invalidate attempts to combat social injustice—if </w:t>
      </w:r>
      <w:r w:rsidR="00BE6BDA">
        <w:t>A</w:t>
      </w:r>
      <w:r>
        <w:t xml:space="preserve">sian Americans were seen as “successful,” then there should be no reason why African Americans could not be the same. As previously mentioned, the desire to become model Americans came out of a trauma response to Japanese incarceration. Not only is the model minority myth driving a wedge between Asian </w:t>
      </w:r>
      <w:r w:rsidR="00BE6BDA">
        <w:t xml:space="preserve">Americans </w:t>
      </w:r>
      <w:r>
        <w:t>and African Americans, but it is also undermining the trauma the Japanese Americans experienced from incarceration.</w:t>
      </w:r>
    </w:p>
    <w:p w14:paraId="00000029" w14:textId="399631B6" w:rsidR="00456926" w:rsidRDefault="00000000">
      <w:r>
        <w:t>The story of Japanese people in America is a complicated one. Although Japanese incarceration is a very difficult topic to talk about, it must be acknowledged and recognized to understand and process the ways that Japanese American identity has changed. The resilience of Japanese Americans has been exploited in the model minority myth, and yet people seem to forget that it was an incredibly long and difficult process that has not yet ended. Like them, we must pick up the pieces and move forward. We can look back and learn, but we must never forget.</w:t>
      </w:r>
    </w:p>
    <w:p w14:paraId="0000002A" w14:textId="77777777" w:rsidR="00456926" w:rsidRDefault="00000000">
      <w:r>
        <w:t xml:space="preserve"> </w:t>
      </w:r>
    </w:p>
    <w:p w14:paraId="0000002B" w14:textId="77777777" w:rsidR="00456926" w:rsidRDefault="00456926"/>
    <w:p w14:paraId="00000033" w14:textId="77777777" w:rsidR="00456926" w:rsidRDefault="00456926" w:rsidP="002B0CA3">
      <w:pPr>
        <w:ind w:firstLine="0"/>
      </w:pPr>
    </w:p>
    <w:p w14:paraId="1714A533" w14:textId="77777777" w:rsidR="002B0CA3" w:rsidRDefault="002B0CA3" w:rsidP="002B0CA3">
      <w:pPr>
        <w:ind w:firstLine="0"/>
      </w:pPr>
    </w:p>
    <w:p w14:paraId="50E32CBE" w14:textId="77777777" w:rsidR="00FC25B8" w:rsidRDefault="00FC25B8" w:rsidP="002B0CA3">
      <w:pPr>
        <w:ind w:firstLine="0"/>
      </w:pPr>
    </w:p>
    <w:p w14:paraId="28954D33" w14:textId="77777777" w:rsidR="00FC25B8" w:rsidRDefault="00FC25B8" w:rsidP="002B0CA3">
      <w:pPr>
        <w:ind w:firstLine="0"/>
      </w:pPr>
    </w:p>
    <w:p w14:paraId="00000034" w14:textId="77777777" w:rsidR="00456926" w:rsidRDefault="00000000" w:rsidP="002B0CA3">
      <w:pPr>
        <w:spacing w:line="276" w:lineRule="auto"/>
        <w:ind w:firstLine="0"/>
        <w:jc w:val="center"/>
      </w:pPr>
      <w:commentRangeStart w:id="4"/>
      <w:r>
        <w:lastRenderedPageBreak/>
        <w:t>Bibliography</w:t>
      </w:r>
      <w:commentRangeEnd w:id="4"/>
      <w:r w:rsidR="00271237">
        <w:rPr>
          <w:rStyle w:val="CommentReference"/>
        </w:rPr>
        <w:commentReference w:id="4"/>
      </w:r>
    </w:p>
    <w:p w14:paraId="00000035" w14:textId="77777777" w:rsidR="00456926" w:rsidRDefault="00000000" w:rsidP="002B0CA3">
      <w:pPr>
        <w:spacing w:line="276" w:lineRule="auto"/>
        <w:ind w:left="720" w:hanging="720"/>
      </w:pPr>
      <w:proofErr w:type="spellStart"/>
      <w:r>
        <w:t>Brcak</w:t>
      </w:r>
      <w:proofErr w:type="spellEnd"/>
      <w:r>
        <w:t xml:space="preserve">, Nancy and John R. Pavia. “Racism in Japanese and U.S. Wartime Propaganda.” </w:t>
      </w:r>
      <w:r>
        <w:rPr>
          <w:i/>
        </w:rPr>
        <w:t>The Historian</w:t>
      </w:r>
      <w:r>
        <w:t xml:space="preserve"> 56, no. 4 (Summer 1994): 671-684.</w:t>
      </w:r>
    </w:p>
    <w:p w14:paraId="00000038" w14:textId="1706B1CA" w:rsidR="00456926" w:rsidRDefault="00000000" w:rsidP="002B0CA3">
      <w:pPr>
        <w:spacing w:line="276" w:lineRule="auto"/>
        <w:ind w:left="720" w:hanging="720"/>
      </w:pPr>
      <w:r>
        <w:t xml:space="preserve">Leonard, Kevin Allen. “‘Is That What We Fought For?’ Japanese Americans and Racism in California, The Impact of World War II.” </w:t>
      </w:r>
      <w:r>
        <w:rPr>
          <w:i/>
        </w:rPr>
        <w:t>Western Historical Quarterly</w:t>
      </w:r>
      <w:r>
        <w:t xml:space="preserve"> 21, no. 4 (November 1990): 463-482.</w:t>
      </w:r>
    </w:p>
    <w:p w14:paraId="0000003A" w14:textId="76DF4568" w:rsidR="00456926" w:rsidRDefault="00000000" w:rsidP="002B0CA3">
      <w:pPr>
        <w:spacing w:line="276" w:lineRule="auto"/>
        <w:ind w:left="720" w:hanging="720"/>
      </w:pPr>
      <w:r>
        <w:t xml:space="preserve">Nagata, Donna K. “The Japanese American Internment: Exploring the Transgenerational Consequences of Traumatic Stress.” </w:t>
      </w:r>
      <w:r>
        <w:rPr>
          <w:i/>
        </w:rPr>
        <w:t>Journal of Traumatic Stress</w:t>
      </w:r>
      <w:r>
        <w:t xml:space="preserve"> 3, no. 1 (1990): 47-69.</w:t>
      </w:r>
    </w:p>
    <w:p w14:paraId="0000003C" w14:textId="6E769B5E" w:rsidR="00456926" w:rsidRDefault="00000000" w:rsidP="002B0CA3">
      <w:pPr>
        <w:spacing w:line="276" w:lineRule="auto"/>
        <w:ind w:left="720" w:hanging="720"/>
      </w:pPr>
      <w:r>
        <w:t xml:space="preserve">Nagata, Donna K., Jackie H. J. Kim, and Teresa U. Nguyen. “Processing Cultural Trauma: Intergenerational Effects of the Japanese American Incarceration.” </w:t>
      </w:r>
      <w:r>
        <w:rPr>
          <w:i/>
        </w:rPr>
        <w:t>Journal of Social Issues</w:t>
      </w:r>
      <w:r>
        <w:t xml:space="preserve"> 71, no. 2 (2015): 356-370.</w:t>
      </w:r>
    </w:p>
    <w:p w14:paraId="0000003E" w14:textId="57335743" w:rsidR="00456926" w:rsidRDefault="00000000" w:rsidP="002B0CA3">
      <w:pPr>
        <w:spacing w:line="276" w:lineRule="auto"/>
        <w:ind w:left="720" w:hanging="720"/>
      </w:pPr>
      <w:proofErr w:type="spellStart"/>
      <w:r>
        <w:t>Okihiro</w:t>
      </w:r>
      <w:proofErr w:type="spellEnd"/>
      <w:r>
        <w:t xml:space="preserve">, Gary Y. “When and Where I Enter.” In </w:t>
      </w:r>
      <w:r>
        <w:rPr>
          <w:i/>
        </w:rPr>
        <w:t>Margins and Mainstreams: Asians in American History and Culture</w:t>
      </w:r>
      <w:r>
        <w:t xml:space="preserve"> (1994), 3-30.</w:t>
      </w:r>
    </w:p>
    <w:p w14:paraId="00000040" w14:textId="67A797C1" w:rsidR="00456926" w:rsidRDefault="00000000" w:rsidP="002B0CA3">
      <w:pPr>
        <w:spacing w:line="276" w:lineRule="auto"/>
        <w:ind w:left="720" w:hanging="720"/>
      </w:pPr>
      <w:r>
        <w:t>Phelan, James D. “Why the Chinese Should be Excluded.”</w:t>
      </w:r>
      <w:r>
        <w:rPr>
          <w:i/>
        </w:rPr>
        <w:t xml:space="preserve"> North American Review</w:t>
      </w:r>
      <w:r>
        <w:t>, November 1901.</w:t>
      </w:r>
    </w:p>
    <w:p w14:paraId="00000042" w14:textId="2375AEF7" w:rsidR="00456926" w:rsidRDefault="00000000" w:rsidP="002B0CA3">
      <w:pPr>
        <w:spacing w:line="276" w:lineRule="auto"/>
        <w:ind w:left="720" w:hanging="720"/>
      </w:pPr>
      <w:r>
        <w:t xml:space="preserve">Tsuda, </w:t>
      </w:r>
      <w:proofErr w:type="spellStart"/>
      <w:r>
        <w:t>Takeyuki</w:t>
      </w:r>
      <w:proofErr w:type="spellEnd"/>
      <w:r>
        <w:t xml:space="preserve"> (Gaku). “Diasporas Without a Consciousness: Japanese Americans and the Lack of a ‘Nikkei’ Identity.” </w:t>
      </w:r>
      <w:r>
        <w:rPr>
          <w:i/>
        </w:rPr>
        <w:t xml:space="preserve">Regions &amp; Cohesion / Regiones y </w:t>
      </w:r>
      <w:proofErr w:type="spellStart"/>
      <w:r>
        <w:rPr>
          <w:i/>
        </w:rPr>
        <w:t>Cohesión</w:t>
      </w:r>
      <w:proofErr w:type="spellEnd"/>
      <w:r>
        <w:rPr>
          <w:i/>
        </w:rPr>
        <w:t xml:space="preserve"> / </w:t>
      </w:r>
      <w:proofErr w:type="spellStart"/>
      <w:r>
        <w:rPr>
          <w:i/>
        </w:rPr>
        <w:t>Régions</w:t>
      </w:r>
      <w:proofErr w:type="spellEnd"/>
      <w:r>
        <w:rPr>
          <w:i/>
        </w:rPr>
        <w:t xml:space="preserve"> et </w:t>
      </w:r>
      <w:proofErr w:type="spellStart"/>
      <w:r>
        <w:rPr>
          <w:i/>
        </w:rPr>
        <w:t>Cohésion</w:t>
      </w:r>
      <w:proofErr w:type="spellEnd"/>
      <w:r>
        <w:t xml:space="preserve"> 2, no. 2 (Summer 2012): 83-104.</w:t>
      </w:r>
    </w:p>
    <w:p w14:paraId="00000044" w14:textId="74C60A20" w:rsidR="00456926" w:rsidRDefault="00000000" w:rsidP="002B0CA3">
      <w:pPr>
        <w:spacing w:line="276" w:lineRule="auto"/>
        <w:ind w:left="720" w:hanging="720"/>
      </w:pPr>
      <w:r>
        <w:t xml:space="preserve">“Success Story of One Minority Group in U.S.,” </w:t>
      </w:r>
      <w:r>
        <w:rPr>
          <w:i/>
        </w:rPr>
        <w:t>U.S. News &amp; World Report</w:t>
      </w:r>
      <w:r>
        <w:t>, December 26, 1966.</w:t>
      </w:r>
    </w:p>
    <w:p w14:paraId="00000045" w14:textId="77777777" w:rsidR="00456926" w:rsidRDefault="00000000" w:rsidP="002B0CA3">
      <w:pPr>
        <w:spacing w:line="276" w:lineRule="auto"/>
        <w:ind w:left="720" w:hanging="720"/>
      </w:pPr>
      <w:r>
        <w:t xml:space="preserve">Ward, Jason Morgan. “‘No Jap Crow’: Japanese Americans Encounter the World War II South.” </w:t>
      </w:r>
      <w:r>
        <w:rPr>
          <w:i/>
        </w:rPr>
        <w:t>The Journal of Southern History</w:t>
      </w:r>
      <w:r>
        <w:t xml:space="preserve"> 73, no. 1 (February 2007): 75-104.</w:t>
      </w:r>
    </w:p>
    <w:sectPr w:rsidR="00456926">
      <w:headerReference w:type="default" r:id="rId11"/>
      <w:pgSz w:w="12240" w:h="15840"/>
      <w:pgMar w:top="1440" w:right="1440" w:bottom="1440" w:left="1440" w:header="0" w:footer="720" w:gutter="0"/>
      <w:pgNumType w:start="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Drozd, Katherine" w:date="2025-04-09T21:09:00Z" w:initials="KD">
    <w:p w14:paraId="708A5148" w14:textId="77777777" w:rsidR="00AF6E4F" w:rsidRDefault="00AF6E4F" w:rsidP="00AF6E4F">
      <w:r>
        <w:rPr>
          <w:rStyle w:val="CommentReference"/>
        </w:rPr>
        <w:annotationRef/>
      </w:r>
      <w:r>
        <w:rPr>
          <w:color w:val="000000"/>
          <w:sz w:val="20"/>
          <w:szCs w:val="20"/>
        </w:rPr>
        <w:t>were</w:t>
      </w:r>
    </w:p>
  </w:comment>
  <w:comment w:id="4" w:author="Drozd, Katherine" w:date="2025-04-09T21:18:00Z" w:initials="KD">
    <w:p w14:paraId="786A06EC" w14:textId="77777777" w:rsidR="00271237" w:rsidRDefault="00271237" w:rsidP="00271237">
      <w:r>
        <w:rPr>
          <w:rStyle w:val="CommentReference"/>
        </w:rPr>
        <w:annotationRef/>
      </w:r>
      <w:r>
        <w:rPr>
          <w:color w:val="000000"/>
          <w:sz w:val="20"/>
          <w:szCs w:val="20"/>
        </w:rPr>
        <w:t xml:space="preserve">make sure that your bibliography is on the next fully blank page after your conclusion! sometimes it can get messed up when editing.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8A5148" w15:done="0"/>
  <w15:commentEx w15:paraId="786A06E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05B7B69" w16cex:dateUtc="2025-04-10T01:09:00Z"/>
  <w16cex:commentExtensible w16cex:durableId="021BE0DC" w16cex:dateUtc="2025-04-10T01: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8A5148" w16cid:durableId="105B7B69"/>
  <w16cid:commentId w16cid:paraId="786A06EC" w16cid:durableId="021BE0D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2679D6" w14:textId="77777777" w:rsidR="008F17EA" w:rsidRDefault="008F17EA">
      <w:pPr>
        <w:spacing w:line="240" w:lineRule="auto"/>
      </w:pPr>
      <w:r>
        <w:separator/>
      </w:r>
    </w:p>
  </w:endnote>
  <w:endnote w:type="continuationSeparator" w:id="0">
    <w:p w14:paraId="6D6B2DA1" w14:textId="77777777" w:rsidR="008F17EA" w:rsidRDefault="008F17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B08B2" w14:textId="77777777" w:rsidR="008F17EA" w:rsidRDefault="008F17EA">
      <w:pPr>
        <w:spacing w:line="240" w:lineRule="auto"/>
      </w:pPr>
      <w:r>
        <w:separator/>
      </w:r>
    </w:p>
  </w:footnote>
  <w:footnote w:type="continuationSeparator" w:id="0">
    <w:p w14:paraId="0DA83C9D" w14:textId="77777777" w:rsidR="008F17EA" w:rsidRDefault="008F17EA">
      <w:pPr>
        <w:spacing w:line="240" w:lineRule="auto"/>
      </w:pPr>
      <w:r>
        <w:continuationSeparator/>
      </w:r>
    </w:p>
  </w:footnote>
  <w:footnote w:id="1">
    <w:p w14:paraId="0000004A" w14:textId="77777777" w:rsidR="00456926" w:rsidRPr="00294E97"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Gary Y. </w:t>
      </w:r>
      <w:proofErr w:type="spellStart"/>
      <w:r w:rsidRPr="00294E97">
        <w:rPr>
          <w:sz w:val="20"/>
          <w:szCs w:val="20"/>
        </w:rPr>
        <w:t>Okihiro</w:t>
      </w:r>
      <w:proofErr w:type="spellEnd"/>
      <w:r w:rsidRPr="00294E97">
        <w:rPr>
          <w:sz w:val="20"/>
          <w:szCs w:val="20"/>
        </w:rPr>
        <w:t xml:space="preserve">, “When and Where I Enter,” in </w:t>
      </w:r>
      <w:r w:rsidRPr="00294E97">
        <w:rPr>
          <w:i/>
          <w:sz w:val="20"/>
          <w:szCs w:val="20"/>
        </w:rPr>
        <w:t>Margins and Mainstreams: Asians in American History and Culture</w:t>
      </w:r>
      <w:r w:rsidRPr="00294E97">
        <w:rPr>
          <w:sz w:val="20"/>
          <w:szCs w:val="20"/>
        </w:rPr>
        <w:t xml:space="preserve"> (1994): 23. </w:t>
      </w:r>
    </w:p>
  </w:footnote>
  <w:footnote w:id="2">
    <w:p w14:paraId="0000004B" w14:textId="77777777" w:rsidR="00456926" w:rsidRPr="00294E97"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w:t>
      </w:r>
      <w:proofErr w:type="spellStart"/>
      <w:r w:rsidRPr="00294E97">
        <w:rPr>
          <w:sz w:val="20"/>
          <w:szCs w:val="20"/>
        </w:rPr>
        <w:t>Okihiro</w:t>
      </w:r>
      <w:proofErr w:type="spellEnd"/>
      <w:r w:rsidRPr="00294E97">
        <w:rPr>
          <w:sz w:val="20"/>
          <w:szCs w:val="20"/>
        </w:rPr>
        <w:t xml:space="preserve">, “When and Where I Enter,” 24. </w:t>
      </w:r>
    </w:p>
  </w:footnote>
  <w:footnote w:id="3">
    <w:p w14:paraId="0000004C" w14:textId="77777777" w:rsidR="00456926" w:rsidRPr="00294E97"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w:t>
      </w:r>
      <w:proofErr w:type="spellStart"/>
      <w:r w:rsidRPr="00294E97">
        <w:rPr>
          <w:sz w:val="20"/>
          <w:szCs w:val="20"/>
        </w:rPr>
        <w:t>Okihiro</w:t>
      </w:r>
      <w:proofErr w:type="spellEnd"/>
      <w:r w:rsidRPr="00294E97">
        <w:rPr>
          <w:sz w:val="20"/>
          <w:szCs w:val="20"/>
        </w:rPr>
        <w:t>, “When and Where I Enter,” 22.</w:t>
      </w:r>
    </w:p>
  </w:footnote>
  <w:footnote w:id="4">
    <w:p w14:paraId="0000004D" w14:textId="77777777" w:rsidR="00456926" w:rsidRPr="00294E97"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w:t>
      </w:r>
      <w:proofErr w:type="spellStart"/>
      <w:r w:rsidRPr="00294E97">
        <w:rPr>
          <w:sz w:val="20"/>
          <w:szCs w:val="20"/>
        </w:rPr>
        <w:t>Okihiro</w:t>
      </w:r>
      <w:proofErr w:type="spellEnd"/>
      <w:r w:rsidRPr="00294E97">
        <w:rPr>
          <w:sz w:val="20"/>
          <w:szCs w:val="20"/>
        </w:rPr>
        <w:t>, “When and Where I Enter,” 12.</w:t>
      </w:r>
    </w:p>
  </w:footnote>
  <w:footnote w:id="5">
    <w:p w14:paraId="0000004E" w14:textId="77777777" w:rsidR="00456926" w:rsidRPr="00294E97"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James D. Phelan, “Why the Chinese Should Be Excluded,” </w:t>
      </w:r>
      <w:r w:rsidRPr="00294E97">
        <w:rPr>
          <w:i/>
          <w:sz w:val="20"/>
          <w:szCs w:val="20"/>
        </w:rPr>
        <w:t>North American Review,</w:t>
      </w:r>
      <w:r w:rsidRPr="00294E97">
        <w:rPr>
          <w:sz w:val="20"/>
          <w:szCs w:val="20"/>
        </w:rPr>
        <w:t xml:space="preserve"> (November 1901): 668.</w:t>
      </w:r>
    </w:p>
  </w:footnote>
  <w:footnote w:id="6">
    <w:p w14:paraId="0000004F" w14:textId="77777777" w:rsidR="00456926" w:rsidRDefault="00000000">
      <w:pPr>
        <w:spacing w:line="240" w:lineRule="auto"/>
        <w:ind w:firstLine="0"/>
        <w:rPr>
          <w:sz w:val="20"/>
          <w:szCs w:val="20"/>
        </w:rPr>
      </w:pPr>
      <w:r w:rsidRPr="00294E97">
        <w:rPr>
          <w:sz w:val="20"/>
          <w:szCs w:val="20"/>
          <w:vertAlign w:val="superscript"/>
        </w:rPr>
        <w:footnoteRef/>
      </w:r>
      <w:r w:rsidRPr="00294E97">
        <w:rPr>
          <w:sz w:val="20"/>
          <w:szCs w:val="20"/>
        </w:rPr>
        <w:t xml:space="preserve"> Phelan, “Why the Chinese Should Be Excluded,” 672.</w:t>
      </w:r>
    </w:p>
  </w:footnote>
  <w:footnote w:id="7">
    <w:p w14:paraId="00000050"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Kevin Allen Leonard, “‘Is That What We Fought For?’ Japanese Americans and Racism in California, The Impact of World War II,” </w:t>
      </w:r>
      <w:r w:rsidRPr="002B0CA3">
        <w:rPr>
          <w:i/>
          <w:sz w:val="20"/>
          <w:szCs w:val="20"/>
        </w:rPr>
        <w:t>Western Historical Quarterly</w:t>
      </w:r>
      <w:r w:rsidRPr="002B0CA3">
        <w:rPr>
          <w:sz w:val="20"/>
          <w:szCs w:val="20"/>
        </w:rPr>
        <w:t xml:space="preserve"> 21, no. 4 (November 1990): 465.</w:t>
      </w:r>
    </w:p>
  </w:footnote>
  <w:footnote w:id="8">
    <w:p w14:paraId="00000055"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463.</w:t>
      </w:r>
    </w:p>
  </w:footnote>
  <w:footnote w:id="9">
    <w:p w14:paraId="00000051"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465-6.</w:t>
      </w:r>
    </w:p>
  </w:footnote>
  <w:footnote w:id="10">
    <w:p w14:paraId="00000053"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Nancy </w:t>
      </w:r>
      <w:proofErr w:type="spellStart"/>
      <w:r w:rsidRPr="002B0CA3">
        <w:rPr>
          <w:sz w:val="20"/>
          <w:szCs w:val="20"/>
        </w:rPr>
        <w:t>Brcak</w:t>
      </w:r>
      <w:proofErr w:type="spellEnd"/>
      <w:r w:rsidRPr="002B0CA3">
        <w:rPr>
          <w:sz w:val="20"/>
          <w:szCs w:val="20"/>
        </w:rPr>
        <w:t xml:space="preserve"> and John R. Pavia, “Racism in Japanese and U.S. Wartime Propaganda,” </w:t>
      </w:r>
      <w:r w:rsidRPr="002B0CA3">
        <w:rPr>
          <w:i/>
          <w:sz w:val="20"/>
          <w:szCs w:val="20"/>
        </w:rPr>
        <w:t>The Historian</w:t>
      </w:r>
      <w:r w:rsidRPr="002B0CA3">
        <w:rPr>
          <w:sz w:val="20"/>
          <w:szCs w:val="20"/>
        </w:rPr>
        <w:t xml:space="preserve"> 56, no. 4 (Summer 1994): 672.</w:t>
      </w:r>
    </w:p>
  </w:footnote>
  <w:footnote w:id="11">
    <w:p w14:paraId="00000054"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t>
      </w:r>
      <w:proofErr w:type="spellStart"/>
      <w:r w:rsidRPr="002B0CA3">
        <w:rPr>
          <w:sz w:val="20"/>
          <w:szCs w:val="20"/>
        </w:rPr>
        <w:t>Brcak</w:t>
      </w:r>
      <w:proofErr w:type="spellEnd"/>
      <w:r w:rsidRPr="002B0CA3">
        <w:rPr>
          <w:sz w:val="20"/>
          <w:szCs w:val="20"/>
        </w:rPr>
        <w:t xml:space="preserve"> and Pavia, “Racism in Japanese and U.S. Wartime Propaganda,” 683.</w:t>
      </w:r>
    </w:p>
  </w:footnote>
  <w:footnote w:id="12">
    <w:p w14:paraId="00000052"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466.</w:t>
      </w:r>
    </w:p>
  </w:footnote>
  <w:footnote w:id="13">
    <w:p w14:paraId="00000059"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Hana Maruyama and Noah Maruyama, “Rocks,” </w:t>
      </w:r>
      <w:proofErr w:type="spellStart"/>
      <w:r w:rsidRPr="002B0CA3">
        <w:rPr>
          <w:i/>
          <w:sz w:val="20"/>
          <w:szCs w:val="20"/>
        </w:rPr>
        <w:t>Campu</w:t>
      </w:r>
      <w:proofErr w:type="spellEnd"/>
      <w:r w:rsidRPr="002B0CA3">
        <w:rPr>
          <w:i/>
          <w:sz w:val="20"/>
          <w:szCs w:val="20"/>
        </w:rPr>
        <w:t xml:space="preserve">: Podcast, </w:t>
      </w:r>
      <w:proofErr w:type="spellStart"/>
      <w:r w:rsidRPr="002B0CA3">
        <w:rPr>
          <w:i/>
          <w:sz w:val="20"/>
          <w:szCs w:val="20"/>
        </w:rPr>
        <w:t>Densho</w:t>
      </w:r>
      <w:proofErr w:type="spellEnd"/>
      <w:r w:rsidRPr="002B0CA3">
        <w:rPr>
          <w:sz w:val="20"/>
          <w:szCs w:val="20"/>
        </w:rPr>
        <w:t>, 28.</w:t>
      </w:r>
    </w:p>
  </w:footnote>
  <w:footnote w:id="14">
    <w:p w14:paraId="0000005A" w14:textId="77777777"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“Rocks,”</w:t>
      </w:r>
      <w:r w:rsidRPr="002B0CA3">
        <w:rPr>
          <w:i/>
          <w:sz w:val="20"/>
          <w:szCs w:val="20"/>
        </w:rPr>
        <w:t xml:space="preserve"> </w:t>
      </w:r>
      <w:r w:rsidRPr="002B0CA3">
        <w:rPr>
          <w:sz w:val="20"/>
          <w:szCs w:val="20"/>
        </w:rPr>
        <w:t>28.</w:t>
      </w:r>
    </w:p>
  </w:footnote>
  <w:footnote w:id="15">
    <w:p w14:paraId="0000005B"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“Latrines,” 27-8.</w:t>
      </w:r>
    </w:p>
  </w:footnote>
  <w:footnote w:id="16">
    <w:p w14:paraId="0000005C"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“Food,”</w:t>
      </w:r>
      <w:r w:rsidRPr="002B0CA3">
        <w:rPr>
          <w:i/>
          <w:sz w:val="20"/>
          <w:szCs w:val="20"/>
        </w:rPr>
        <w:t xml:space="preserve"> </w:t>
      </w:r>
      <w:r w:rsidRPr="002B0CA3">
        <w:rPr>
          <w:sz w:val="20"/>
          <w:szCs w:val="20"/>
        </w:rPr>
        <w:t xml:space="preserve">10. </w:t>
      </w:r>
    </w:p>
  </w:footnote>
  <w:footnote w:id="17">
    <w:p w14:paraId="0000005D"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“Fences,” 3.</w:t>
      </w:r>
    </w:p>
  </w:footnote>
  <w:footnote w:id="18">
    <w:p w14:paraId="0000005E"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“Papers,” 19.</w:t>
      </w:r>
    </w:p>
  </w:footnote>
  <w:footnote w:id="19">
    <w:p w14:paraId="0000005F" w14:textId="77777777"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“Papers,” 19-20.</w:t>
      </w:r>
    </w:p>
  </w:footnote>
  <w:footnote w:id="20">
    <w:p w14:paraId="00000056"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Maruyama and Maruyama, “Rocks,”</w:t>
      </w:r>
      <w:r w:rsidRPr="002B0CA3">
        <w:rPr>
          <w:i/>
          <w:sz w:val="20"/>
          <w:szCs w:val="20"/>
        </w:rPr>
        <w:t xml:space="preserve"> </w:t>
      </w:r>
      <w:r w:rsidRPr="002B0CA3">
        <w:rPr>
          <w:sz w:val="20"/>
          <w:szCs w:val="20"/>
        </w:rPr>
        <w:t xml:space="preserve">1, 29. </w:t>
      </w:r>
    </w:p>
  </w:footnote>
  <w:footnote w:id="21">
    <w:p w14:paraId="00000062"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467.</w:t>
      </w:r>
    </w:p>
  </w:footnote>
  <w:footnote w:id="22">
    <w:p w14:paraId="00000057"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468.</w:t>
      </w:r>
    </w:p>
  </w:footnote>
  <w:footnote w:id="23">
    <w:p w14:paraId="00000058"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468.</w:t>
      </w:r>
    </w:p>
  </w:footnote>
  <w:footnote w:id="24">
    <w:p w14:paraId="00000060" w14:textId="77777777"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469.</w:t>
      </w:r>
    </w:p>
  </w:footnote>
  <w:footnote w:id="25">
    <w:p w14:paraId="00000061"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Leonard, “‘Is That What We Fought For?’” 470.</w:t>
      </w:r>
    </w:p>
  </w:footnote>
  <w:footnote w:id="26">
    <w:p w14:paraId="00000063"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Jason Morgan Ward, “‘No Jap Crow’: Japanese Americans Encounter the World War II South,” </w:t>
      </w:r>
      <w:r w:rsidRPr="002B0CA3">
        <w:rPr>
          <w:i/>
          <w:sz w:val="20"/>
          <w:szCs w:val="20"/>
        </w:rPr>
        <w:t>The Journal of Southern History</w:t>
      </w:r>
      <w:r w:rsidRPr="002B0CA3">
        <w:rPr>
          <w:sz w:val="20"/>
          <w:szCs w:val="20"/>
        </w:rPr>
        <w:t xml:space="preserve"> 73, no. 1 (February 2007): 75-6.</w:t>
      </w:r>
    </w:p>
  </w:footnote>
  <w:footnote w:id="27">
    <w:p w14:paraId="00000064"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Ward, “‘No Jap Crow,’” 76.</w:t>
      </w:r>
    </w:p>
  </w:footnote>
  <w:footnote w:id="28">
    <w:p w14:paraId="00000066" w14:textId="77777777"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Ward, “‘No Jap Crow,’” 85.</w:t>
      </w:r>
    </w:p>
  </w:footnote>
  <w:footnote w:id="29">
    <w:p w14:paraId="00000065"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Ward, “‘No Jap Crow,’” 77.</w:t>
      </w:r>
    </w:p>
  </w:footnote>
  <w:footnote w:id="30">
    <w:p w14:paraId="00000067"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Ward, “‘No Jap Crow,’” 87.</w:t>
      </w:r>
    </w:p>
  </w:footnote>
  <w:footnote w:id="31">
    <w:p w14:paraId="00000068"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Ward, “‘No Jap Crow,’” 88. </w:t>
      </w:r>
    </w:p>
  </w:footnote>
  <w:footnote w:id="32">
    <w:p w14:paraId="0000006B"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lang w:val="es-ES"/>
        </w:rPr>
        <w:t xml:space="preserve"> Donna K. Nagata, et. </w:t>
      </w:r>
      <w:proofErr w:type="gramStart"/>
      <w:r w:rsidRPr="002B0CA3">
        <w:rPr>
          <w:sz w:val="20"/>
          <w:szCs w:val="20"/>
          <w:lang w:val="es-ES"/>
        </w:rPr>
        <w:t>al,.</w:t>
      </w:r>
      <w:proofErr w:type="gramEnd"/>
      <w:r w:rsidRPr="002B0CA3">
        <w:rPr>
          <w:sz w:val="20"/>
          <w:szCs w:val="20"/>
          <w:lang w:val="es-ES"/>
        </w:rPr>
        <w:t xml:space="preserve"> </w:t>
      </w:r>
      <w:r w:rsidRPr="002B0CA3">
        <w:rPr>
          <w:sz w:val="20"/>
          <w:szCs w:val="20"/>
        </w:rPr>
        <w:t xml:space="preserve">“Processing Cultural Trauma: Intergenerational Effects of the Japanese American Incarceration,” </w:t>
      </w:r>
      <w:r w:rsidRPr="002B0CA3">
        <w:rPr>
          <w:i/>
          <w:sz w:val="20"/>
          <w:szCs w:val="20"/>
        </w:rPr>
        <w:t>Journal of Social Issues</w:t>
      </w:r>
      <w:r w:rsidRPr="002B0CA3">
        <w:rPr>
          <w:sz w:val="20"/>
          <w:szCs w:val="20"/>
        </w:rPr>
        <w:t xml:space="preserve"> 71, no. 2 (2015): 357.</w:t>
      </w:r>
    </w:p>
  </w:footnote>
  <w:footnote w:id="33">
    <w:p w14:paraId="00000069" w14:textId="77777777" w:rsidR="00456926" w:rsidRPr="002B0CA3" w:rsidRDefault="00000000">
      <w:pPr>
        <w:spacing w:line="240" w:lineRule="auto"/>
        <w:ind w:firstLine="0"/>
        <w:rPr>
          <w:sz w:val="20"/>
          <w:szCs w:val="20"/>
          <w:lang w:val="es-ES"/>
        </w:rPr>
      </w:pPr>
      <w:r w:rsidRPr="002B0CA3">
        <w:rPr>
          <w:sz w:val="20"/>
          <w:szCs w:val="20"/>
          <w:vertAlign w:val="superscript"/>
        </w:rPr>
        <w:footnoteRef/>
      </w:r>
      <w:r w:rsidRPr="002B0CA3">
        <w:rPr>
          <w:sz w:val="20"/>
          <w:szCs w:val="20"/>
          <w:lang w:val="es-ES"/>
        </w:rPr>
        <w:t xml:space="preserve"> Nagata, et. </w:t>
      </w:r>
      <w:proofErr w:type="gramStart"/>
      <w:r w:rsidRPr="002B0CA3">
        <w:rPr>
          <w:sz w:val="20"/>
          <w:szCs w:val="20"/>
          <w:lang w:val="es-ES"/>
        </w:rPr>
        <w:t>al,.</w:t>
      </w:r>
      <w:proofErr w:type="gramEnd"/>
      <w:r w:rsidRPr="002B0CA3">
        <w:rPr>
          <w:sz w:val="20"/>
          <w:szCs w:val="20"/>
          <w:lang w:val="es-ES"/>
        </w:rPr>
        <w:t xml:space="preserve"> “Processing Cultural Trauma,” 360.</w:t>
      </w:r>
    </w:p>
  </w:footnote>
  <w:footnote w:id="34">
    <w:p w14:paraId="0000006A" w14:textId="6255ECA7" w:rsidR="00456926" w:rsidRDefault="00000000">
      <w:pPr>
        <w:spacing w:line="240" w:lineRule="auto"/>
        <w:ind w:firstLine="0"/>
        <w:rPr>
          <w:sz w:val="20"/>
          <w:szCs w:val="20"/>
        </w:rPr>
      </w:pPr>
      <w:r w:rsidRPr="002B0CA3">
        <w:rPr>
          <w:sz w:val="20"/>
          <w:szCs w:val="20"/>
          <w:vertAlign w:val="superscript"/>
        </w:rPr>
        <w:footnoteRef/>
      </w:r>
      <w:r w:rsidRPr="002B0CA3">
        <w:rPr>
          <w:sz w:val="20"/>
          <w:szCs w:val="20"/>
          <w:lang w:val="es-ES"/>
        </w:rPr>
        <w:t xml:space="preserve"> Nagata, et. </w:t>
      </w:r>
      <w:proofErr w:type="gramStart"/>
      <w:r w:rsidRPr="002B0CA3">
        <w:rPr>
          <w:sz w:val="20"/>
          <w:szCs w:val="20"/>
          <w:lang w:val="es-ES"/>
        </w:rPr>
        <w:t>al,.</w:t>
      </w:r>
      <w:proofErr w:type="gramEnd"/>
      <w:r w:rsidRPr="002B0CA3">
        <w:rPr>
          <w:sz w:val="20"/>
          <w:szCs w:val="20"/>
          <w:lang w:val="es-ES"/>
        </w:rPr>
        <w:t xml:space="preserve"> </w:t>
      </w:r>
      <w:r w:rsidRPr="002B0CA3">
        <w:rPr>
          <w:sz w:val="20"/>
          <w:szCs w:val="20"/>
        </w:rPr>
        <w:t>“Processing Cultural Trauma,” 360.</w:t>
      </w:r>
    </w:p>
  </w:footnote>
  <w:footnote w:id="35">
    <w:p w14:paraId="0000006C" w14:textId="3332BE72"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Nagata, et. al,. “Processing Cultural Trauma,” 361.</w:t>
      </w:r>
    </w:p>
  </w:footnote>
  <w:footnote w:id="36">
    <w:p w14:paraId="0000006D"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Donna K. Nagata, “The Japanese American Internment: Exploring the Transgenerational Consequences of Traumatic Stress,” </w:t>
      </w:r>
      <w:r w:rsidRPr="002B0CA3">
        <w:rPr>
          <w:i/>
          <w:sz w:val="20"/>
          <w:szCs w:val="20"/>
        </w:rPr>
        <w:t>Journal of Traumatic Stress</w:t>
      </w:r>
      <w:r w:rsidRPr="002B0CA3">
        <w:rPr>
          <w:sz w:val="20"/>
          <w:szCs w:val="20"/>
        </w:rPr>
        <w:t xml:space="preserve"> 3, no. 1 (1990): 65. </w:t>
      </w:r>
    </w:p>
  </w:footnote>
  <w:footnote w:id="37">
    <w:p w14:paraId="0000006E"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Nagata, et. al,. “Processing Cultural Trauma,” 363.</w:t>
      </w:r>
    </w:p>
  </w:footnote>
  <w:footnote w:id="38">
    <w:p w14:paraId="0000006F" w14:textId="3CC0F4CE"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w:t>
      </w:r>
      <w:proofErr w:type="spellStart"/>
      <w:r w:rsidRPr="002B0CA3">
        <w:rPr>
          <w:sz w:val="20"/>
          <w:szCs w:val="20"/>
        </w:rPr>
        <w:t>Takeyuki</w:t>
      </w:r>
      <w:proofErr w:type="spellEnd"/>
      <w:r w:rsidRPr="002B0CA3">
        <w:rPr>
          <w:sz w:val="20"/>
          <w:szCs w:val="20"/>
        </w:rPr>
        <w:t xml:space="preserve"> (Gaku) Tsuda, “Diasporas Without a Consciousness: Japanese Americans and the Lack of a ‘Nikkei’ Identity,” </w:t>
      </w:r>
      <w:r w:rsidRPr="002B0CA3">
        <w:rPr>
          <w:i/>
          <w:sz w:val="20"/>
          <w:szCs w:val="20"/>
        </w:rPr>
        <w:t xml:space="preserve">Regions &amp; Cohesion / Regiones y </w:t>
      </w:r>
      <w:proofErr w:type="spellStart"/>
      <w:r w:rsidRPr="002B0CA3">
        <w:rPr>
          <w:i/>
          <w:sz w:val="20"/>
          <w:szCs w:val="20"/>
        </w:rPr>
        <w:t>Cohesión</w:t>
      </w:r>
      <w:proofErr w:type="spellEnd"/>
      <w:r w:rsidRPr="002B0CA3">
        <w:rPr>
          <w:i/>
          <w:sz w:val="20"/>
          <w:szCs w:val="20"/>
        </w:rPr>
        <w:t xml:space="preserve"> / </w:t>
      </w:r>
      <w:proofErr w:type="spellStart"/>
      <w:r w:rsidRPr="002B0CA3">
        <w:rPr>
          <w:i/>
          <w:sz w:val="20"/>
          <w:szCs w:val="20"/>
        </w:rPr>
        <w:t>Régions</w:t>
      </w:r>
      <w:proofErr w:type="spellEnd"/>
      <w:r w:rsidRPr="002B0CA3">
        <w:rPr>
          <w:i/>
          <w:sz w:val="20"/>
          <w:szCs w:val="20"/>
        </w:rPr>
        <w:t xml:space="preserve"> et </w:t>
      </w:r>
      <w:proofErr w:type="spellStart"/>
      <w:r w:rsidRPr="002B0CA3">
        <w:rPr>
          <w:i/>
          <w:sz w:val="20"/>
          <w:szCs w:val="20"/>
        </w:rPr>
        <w:t>Cohésion</w:t>
      </w:r>
      <w:proofErr w:type="spellEnd"/>
      <w:r w:rsidRPr="002B0CA3">
        <w:rPr>
          <w:sz w:val="20"/>
          <w:szCs w:val="20"/>
        </w:rPr>
        <w:t xml:space="preserve"> 2, no. 2 (Summer 2012): 86.</w:t>
      </w:r>
    </w:p>
  </w:footnote>
  <w:footnote w:id="39">
    <w:p w14:paraId="00000070" w14:textId="293E9E91" w:rsidR="00456926" w:rsidRPr="002B0CA3" w:rsidRDefault="00000000">
      <w:pPr>
        <w:spacing w:line="240" w:lineRule="auto"/>
        <w:ind w:firstLine="0"/>
        <w:rPr>
          <w:sz w:val="20"/>
          <w:szCs w:val="20"/>
        </w:rPr>
      </w:pPr>
      <w:r w:rsidRPr="002B0CA3">
        <w:rPr>
          <w:sz w:val="20"/>
          <w:szCs w:val="20"/>
          <w:vertAlign w:val="superscript"/>
        </w:rPr>
        <w:footnoteRef/>
      </w:r>
      <w:r w:rsidR="00FC25B8">
        <w:rPr>
          <w:sz w:val="20"/>
          <w:szCs w:val="20"/>
        </w:rPr>
        <w:t xml:space="preserve"> </w:t>
      </w:r>
      <w:r w:rsidRPr="002B0CA3">
        <w:rPr>
          <w:sz w:val="20"/>
          <w:szCs w:val="20"/>
        </w:rPr>
        <w:t>Tsuda, “Diasporas Without a Consciousness,” 91.</w:t>
      </w:r>
    </w:p>
  </w:footnote>
  <w:footnote w:id="40">
    <w:p w14:paraId="00000071" w14:textId="77777777" w:rsidR="00456926"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Tsuda, “Diasporas Without a Consciousness,” 98.</w:t>
      </w:r>
    </w:p>
  </w:footnote>
  <w:footnote w:id="41">
    <w:p w14:paraId="00000072" w14:textId="77777777" w:rsidR="00456926" w:rsidRPr="002B0CA3" w:rsidRDefault="00000000">
      <w:pPr>
        <w:spacing w:line="240" w:lineRule="auto"/>
        <w:ind w:firstLine="0"/>
        <w:rPr>
          <w:sz w:val="20"/>
          <w:szCs w:val="20"/>
        </w:rPr>
      </w:pPr>
      <w:r w:rsidRPr="002B0CA3">
        <w:rPr>
          <w:sz w:val="20"/>
          <w:szCs w:val="20"/>
          <w:vertAlign w:val="superscript"/>
        </w:rPr>
        <w:footnoteRef/>
      </w:r>
      <w:r w:rsidRPr="002B0CA3">
        <w:rPr>
          <w:sz w:val="20"/>
          <w:szCs w:val="20"/>
        </w:rPr>
        <w:t xml:space="preserve"> “Success Story of One Minority Group in U.S.,” U.S. News &amp; World Report, (December 26, 1966) 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46" w14:textId="77777777" w:rsidR="00456926" w:rsidRDefault="00456926">
    <w:pPr>
      <w:pBdr>
        <w:top w:val="nil"/>
        <w:left w:val="nil"/>
        <w:bottom w:val="nil"/>
        <w:right w:val="nil"/>
        <w:between w:val="nil"/>
      </w:pBdr>
    </w:pPr>
  </w:p>
  <w:p w14:paraId="00000047" w14:textId="02A33F72" w:rsidR="00456926" w:rsidRDefault="00000000">
    <w:pPr>
      <w:pBdr>
        <w:top w:val="nil"/>
        <w:left w:val="nil"/>
        <w:bottom w:val="nil"/>
        <w:right w:val="nil"/>
        <w:between w:val="nil"/>
      </w:pBdr>
      <w:jc w:val="right"/>
    </w:pPr>
    <w:r>
      <w:fldChar w:fldCharType="begin"/>
    </w:r>
    <w:r>
      <w:instrText>PAGE</w:instrText>
    </w:r>
    <w:r>
      <w:fldChar w:fldCharType="separate"/>
    </w:r>
    <w:r w:rsidR="00506056">
      <w:rPr>
        <w:noProof/>
      </w:rPr>
      <w:t>1</w:t>
    </w:r>
    <w: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rozd, Katherine">
    <w15:presenceInfo w15:providerId="AD" w15:userId="S::kadrozd@davidson.edu::218405b8-68bc-4d8e-9f9f-1a0ce6fe37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926"/>
    <w:rsid w:val="00037CEF"/>
    <w:rsid w:val="00072B72"/>
    <w:rsid w:val="000A4B07"/>
    <w:rsid w:val="001B0740"/>
    <w:rsid w:val="00271237"/>
    <w:rsid w:val="00294E97"/>
    <w:rsid w:val="002B0CA3"/>
    <w:rsid w:val="00456926"/>
    <w:rsid w:val="004F2B04"/>
    <w:rsid w:val="00506056"/>
    <w:rsid w:val="00506597"/>
    <w:rsid w:val="00727E37"/>
    <w:rsid w:val="00826A0B"/>
    <w:rsid w:val="00850943"/>
    <w:rsid w:val="008C0781"/>
    <w:rsid w:val="008F17EA"/>
    <w:rsid w:val="009406E7"/>
    <w:rsid w:val="0094537E"/>
    <w:rsid w:val="00960664"/>
    <w:rsid w:val="009A3FC8"/>
    <w:rsid w:val="00AF6E4F"/>
    <w:rsid w:val="00BE6BDA"/>
    <w:rsid w:val="00BF3052"/>
    <w:rsid w:val="00D45AEE"/>
    <w:rsid w:val="00DE7211"/>
    <w:rsid w:val="00F61214"/>
    <w:rsid w:val="00FC2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EDB151"/>
  <w15:docId w15:val="{1D44F937-5C6B-1042-AAC8-AB13358A0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200"/>
      <w:ind w:firstLine="0"/>
      <w:outlineLvl w:val="0"/>
    </w:pPr>
  </w:style>
  <w:style w:type="paragraph" w:styleId="Heading2">
    <w:name w:val="heading 2"/>
    <w:basedOn w:val="Normal"/>
    <w:next w:val="Normal"/>
    <w:uiPriority w:val="9"/>
    <w:semiHidden/>
    <w:unhideWhenUsed/>
    <w:qFormat/>
    <w:pPr>
      <w:keepNext/>
      <w:keepLines/>
      <w:spacing w:before="200"/>
      <w:outlineLvl w:val="1"/>
    </w:pPr>
    <w:rPr>
      <w:rFonts w:ascii="Trebuchet MS" w:eastAsia="Trebuchet MS" w:hAnsi="Trebuchet MS" w:cs="Trebuchet MS"/>
      <w:b/>
      <w:sz w:val="26"/>
      <w:szCs w:val="26"/>
    </w:rPr>
  </w:style>
  <w:style w:type="paragraph" w:styleId="Heading3">
    <w:name w:val="heading 3"/>
    <w:basedOn w:val="Normal"/>
    <w:next w:val="Normal"/>
    <w:uiPriority w:val="9"/>
    <w:semiHidden/>
    <w:unhideWhenUsed/>
    <w:qFormat/>
    <w:pPr>
      <w:keepNext/>
      <w:keepLines/>
      <w:spacing w:before="160"/>
      <w:outlineLvl w:val="2"/>
    </w:pPr>
    <w:rPr>
      <w:rFonts w:ascii="Trebuchet MS" w:eastAsia="Trebuchet MS" w:hAnsi="Trebuchet MS" w:cs="Trebuchet MS"/>
      <w:b/>
      <w:color w:val="666666"/>
    </w:rPr>
  </w:style>
  <w:style w:type="paragraph" w:styleId="Heading4">
    <w:name w:val="heading 4"/>
    <w:basedOn w:val="Normal"/>
    <w:next w:val="Normal"/>
    <w:uiPriority w:val="9"/>
    <w:semiHidden/>
    <w:unhideWhenUsed/>
    <w:qFormat/>
    <w:pPr>
      <w:keepNext/>
      <w:keepLines/>
      <w:spacing w:before="160"/>
      <w:outlineLvl w:val="3"/>
    </w:pPr>
    <w:rPr>
      <w:rFonts w:ascii="Trebuchet MS" w:eastAsia="Trebuchet MS" w:hAnsi="Trebuchet MS" w:cs="Trebuchet MS"/>
      <w:color w:val="666666"/>
      <w:sz w:val="22"/>
      <w:szCs w:val="22"/>
      <w:u w:val="single"/>
    </w:rPr>
  </w:style>
  <w:style w:type="paragraph" w:styleId="Heading5">
    <w:name w:val="heading 5"/>
    <w:basedOn w:val="Normal"/>
    <w:next w:val="Normal"/>
    <w:uiPriority w:val="9"/>
    <w:semiHidden/>
    <w:unhideWhenUsed/>
    <w:qFormat/>
    <w:pPr>
      <w:keepNext/>
      <w:keepLines/>
      <w:spacing w:before="160"/>
      <w:outlineLvl w:val="4"/>
    </w:pPr>
    <w:rPr>
      <w:rFonts w:ascii="Trebuchet MS" w:eastAsia="Trebuchet MS" w:hAnsi="Trebuchet MS" w:cs="Trebuchet MS"/>
      <w:color w:val="666666"/>
      <w:sz w:val="22"/>
      <w:szCs w:val="22"/>
    </w:rPr>
  </w:style>
  <w:style w:type="paragraph" w:styleId="Heading6">
    <w:name w:val="heading 6"/>
    <w:basedOn w:val="Normal"/>
    <w:next w:val="Normal"/>
    <w:uiPriority w:val="9"/>
    <w:semiHidden/>
    <w:unhideWhenUsed/>
    <w:qFormat/>
    <w:pPr>
      <w:keepNext/>
      <w:keepLines/>
      <w:spacing w:before="160"/>
      <w:outlineLvl w:val="5"/>
    </w:pPr>
    <w:rPr>
      <w:rFonts w:ascii="Trebuchet MS" w:eastAsia="Trebuchet MS" w:hAnsi="Trebuchet MS" w:cs="Trebuchet MS"/>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before="600"/>
      <w:ind w:firstLine="0"/>
      <w:jc w:val="center"/>
    </w:pPr>
  </w:style>
  <w:style w:type="paragraph" w:styleId="Subtitle">
    <w:name w:val="Subtitle"/>
    <w:basedOn w:val="Normal"/>
    <w:next w:val="Normal"/>
    <w:uiPriority w:val="11"/>
    <w:qFormat/>
    <w:pPr>
      <w:keepNext/>
      <w:keepLines/>
      <w:spacing w:after="200"/>
    </w:pPr>
    <w:rPr>
      <w:rFonts w:ascii="Trebuchet MS" w:eastAsia="Trebuchet MS" w:hAnsi="Trebuchet MS" w:cs="Trebuchet MS"/>
      <w:i/>
      <w:color w:val="666666"/>
      <w:sz w:val="26"/>
      <w:szCs w:val="26"/>
    </w:rPr>
  </w:style>
  <w:style w:type="character" w:styleId="CommentReference">
    <w:name w:val="annotation reference"/>
    <w:basedOn w:val="DefaultParagraphFont"/>
    <w:uiPriority w:val="99"/>
    <w:semiHidden/>
    <w:unhideWhenUsed/>
    <w:rsid w:val="0094537E"/>
    <w:rPr>
      <w:sz w:val="16"/>
      <w:szCs w:val="16"/>
    </w:rPr>
  </w:style>
  <w:style w:type="paragraph" w:styleId="CommentText">
    <w:name w:val="annotation text"/>
    <w:basedOn w:val="Normal"/>
    <w:link w:val="CommentTextChar"/>
    <w:uiPriority w:val="99"/>
    <w:semiHidden/>
    <w:unhideWhenUsed/>
    <w:rsid w:val="0094537E"/>
    <w:pPr>
      <w:spacing w:line="240" w:lineRule="auto"/>
    </w:pPr>
    <w:rPr>
      <w:sz w:val="20"/>
      <w:szCs w:val="20"/>
    </w:rPr>
  </w:style>
  <w:style w:type="character" w:customStyle="1" w:styleId="CommentTextChar">
    <w:name w:val="Comment Text Char"/>
    <w:basedOn w:val="DefaultParagraphFont"/>
    <w:link w:val="CommentText"/>
    <w:uiPriority w:val="99"/>
    <w:semiHidden/>
    <w:rsid w:val="0094537E"/>
    <w:rPr>
      <w:sz w:val="20"/>
      <w:szCs w:val="20"/>
    </w:rPr>
  </w:style>
  <w:style w:type="paragraph" w:styleId="CommentSubject">
    <w:name w:val="annotation subject"/>
    <w:basedOn w:val="CommentText"/>
    <w:next w:val="CommentText"/>
    <w:link w:val="CommentSubjectChar"/>
    <w:uiPriority w:val="99"/>
    <w:semiHidden/>
    <w:unhideWhenUsed/>
    <w:rsid w:val="0094537E"/>
    <w:rPr>
      <w:b/>
      <w:bCs/>
    </w:rPr>
  </w:style>
  <w:style w:type="character" w:customStyle="1" w:styleId="CommentSubjectChar">
    <w:name w:val="Comment Subject Char"/>
    <w:basedOn w:val="CommentTextChar"/>
    <w:link w:val="CommentSubject"/>
    <w:uiPriority w:val="99"/>
    <w:semiHidden/>
    <w:rsid w:val="0094537E"/>
    <w:rPr>
      <w:b/>
      <w:bCs/>
      <w:sz w:val="20"/>
      <w:szCs w:val="20"/>
    </w:rPr>
  </w:style>
  <w:style w:type="paragraph" w:styleId="Header">
    <w:name w:val="header"/>
    <w:basedOn w:val="Normal"/>
    <w:link w:val="HeaderChar"/>
    <w:uiPriority w:val="99"/>
    <w:unhideWhenUsed/>
    <w:rsid w:val="002B0CA3"/>
    <w:pPr>
      <w:tabs>
        <w:tab w:val="center" w:pos="4680"/>
        <w:tab w:val="right" w:pos="9360"/>
      </w:tabs>
      <w:spacing w:line="240" w:lineRule="auto"/>
    </w:pPr>
  </w:style>
  <w:style w:type="character" w:customStyle="1" w:styleId="HeaderChar">
    <w:name w:val="Header Char"/>
    <w:basedOn w:val="DefaultParagraphFont"/>
    <w:link w:val="Header"/>
    <w:uiPriority w:val="99"/>
    <w:rsid w:val="002B0CA3"/>
  </w:style>
  <w:style w:type="paragraph" w:styleId="Footer">
    <w:name w:val="footer"/>
    <w:basedOn w:val="Normal"/>
    <w:link w:val="FooterChar"/>
    <w:uiPriority w:val="99"/>
    <w:unhideWhenUsed/>
    <w:rsid w:val="002B0CA3"/>
    <w:pPr>
      <w:tabs>
        <w:tab w:val="center" w:pos="4680"/>
        <w:tab w:val="right" w:pos="9360"/>
      </w:tabs>
      <w:spacing w:line="240" w:lineRule="auto"/>
    </w:pPr>
  </w:style>
  <w:style w:type="character" w:customStyle="1" w:styleId="FooterChar">
    <w:name w:val="Footer Char"/>
    <w:basedOn w:val="DefaultParagraphFont"/>
    <w:link w:val="Footer"/>
    <w:uiPriority w:val="99"/>
    <w:rsid w:val="002B0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LpE0NEUzqtU4XyUEY3Aov8bJ8A==">CgMxLjAyDmguNWxoMmd4ZGwwdGQ3Mg5oLm9uOTdzbXkzNmhiYjIOaC42MHFhZW8yaG8xcTE4AHIhMUI4QWpsN3FYR3Y0eXVMd1FVY3hud3hQeDI5bVZmQnJs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2819</Words>
  <Characters>16070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Holmes, Hannah</cp:lastModifiedBy>
  <cp:revision>3</cp:revision>
  <dcterms:created xsi:type="dcterms:W3CDTF">2025-04-18T19:18:00Z</dcterms:created>
  <dcterms:modified xsi:type="dcterms:W3CDTF">2025-04-18T19:19:00Z</dcterms:modified>
</cp:coreProperties>
</file>