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E9305D" w14:textId="6E48F1EA" w:rsidR="00EA0BAC" w:rsidRDefault="00EA0BAC" w:rsidP="00EA0BAC">
      <w:pPr>
        <w:spacing w:after="252" w:line="259" w:lineRule="auto"/>
        <w:ind w:left="13"/>
        <w:jc w:val="center"/>
      </w:pPr>
      <w:r>
        <w:br/>
      </w:r>
      <w:r>
        <w:br/>
      </w:r>
      <w:r>
        <w:br/>
      </w:r>
      <w:r>
        <w:br/>
      </w:r>
      <w:r>
        <w:br/>
      </w:r>
      <w:r>
        <w:br/>
      </w:r>
      <w:r>
        <w:br/>
      </w:r>
      <w:r>
        <w:br/>
      </w:r>
      <w:r>
        <w:br/>
      </w:r>
      <w:r>
        <w:br/>
        <w:t>The Inclusion and Exclusion of African American Women in the Women’s Suffrage Movement</w:t>
      </w:r>
      <w:r>
        <w:br/>
      </w:r>
      <w:r>
        <w:br/>
      </w:r>
      <w:r>
        <w:br/>
      </w:r>
      <w:r>
        <w:br/>
      </w:r>
      <w:r>
        <w:br/>
      </w:r>
      <w:r>
        <w:br/>
      </w:r>
      <w:r>
        <w:br/>
      </w:r>
      <w:r>
        <w:br/>
      </w:r>
      <w:r>
        <w:br/>
      </w:r>
      <w:r>
        <w:br/>
      </w:r>
      <w:r>
        <w:br/>
      </w:r>
      <w:r>
        <w:br/>
      </w:r>
      <w:r>
        <w:br/>
      </w:r>
      <w:r>
        <w:br/>
      </w:r>
      <w:r>
        <w:br/>
      </w:r>
      <w:r>
        <w:br/>
      </w:r>
      <w:r>
        <w:br/>
      </w:r>
      <w:r>
        <w:br/>
      </w:r>
      <w:r>
        <w:br/>
      </w:r>
      <w:r>
        <w:br/>
      </w:r>
      <w:r>
        <w:br/>
        <w:t>Claire Orvis</w:t>
      </w:r>
    </w:p>
    <w:p w14:paraId="26F157BF" w14:textId="77777777" w:rsidR="00EA0BAC" w:rsidRDefault="00EA0BAC" w:rsidP="00EA0BAC">
      <w:pPr>
        <w:spacing w:after="252" w:line="259" w:lineRule="auto"/>
        <w:ind w:left="13"/>
        <w:jc w:val="center"/>
      </w:pPr>
      <w:r>
        <w:t>HIS 141: 19th Century U.S. History</w:t>
      </w:r>
    </w:p>
    <w:p w14:paraId="13C00CD0" w14:textId="77777777" w:rsidR="00EA0BAC" w:rsidRDefault="00EA0BAC" w:rsidP="00EA0BAC">
      <w:pPr>
        <w:spacing w:after="252" w:line="259" w:lineRule="auto"/>
        <w:ind w:left="13"/>
        <w:jc w:val="center"/>
      </w:pPr>
      <w:r>
        <w:t>Professor Nguyen</w:t>
      </w:r>
    </w:p>
    <w:p w14:paraId="47BB3C0B" w14:textId="16B139EB" w:rsidR="00EA0BAC" w:rsidRDefault="00EA0BAC" w:rsidP="00EA0BAC">
      <w:pPr>
        <w:spacing w:after="252" w:line="259" w:lineRule="auto"/>
        <w:ind w:left="13"/>
        <w:jc w:val="center"/>
      </w:pPr>
      <w:r>
        <w:t>December 17, 2024</w:t>
      </w:r>
    </w:p>
    <w:p w14:paraId="21C7739D" w14:textId="77777777" w:rsidR="00EA0BAC" w:rsidRDefault="00EA0BAC">
      <w:pPr>
        <w:ind w:left="-15" w:firstLine="720"/>
      </w:pPr>
    </w:p>
    <w:p w14:paraId="2295C011" w14:textId="77777777" w:rsidR="00EA0BAC" w:rsidRDefault="00EA0BAC">
      <w:pPr>
        <w:ind w:left="-15" w:firstLine="720"/>
      </w:pPr>
    </w:p>
    <w:p w14:paraId="415F3A45" w14:textId="76F4D702" w:rsidR="00D34C81" w:rsidRDefault="00C31AE7">
      <w:pPr>
        <w:ind w:left="-15" w:firstLine="720"/>
      </w:pPr>
      <w:r w:rsidRPr="15F6EADE">
        <w:rPr>
          <w:lang w:val="en-US"/>
        </w:rPr>
        <w:lastRenderedPageBreak/>
        <w:t xml:space="preserve">The women’s rights movement of the nineteenth century is often thought to have started in 1848 with the Seneca Falls Convention. </w:t>
      </w:r>
      <w:r w:rsidR="00F44A9A" w:rsidRPr="15F6EADE">
        <w:rPr>
          <w:lang w:val="en-US"/>
        </w:rPr>
        <w:t xml:space="preserve">While this event was undeniably a pivotal moment in the women’s rights movement, </w:t>
      </w:r>
      <w:r w:rsidRPr="15F6EADE">
        <w:rPr>
          <w:lang w:val="en-US"/>
        </w:rPr>
        <w:t xml:space="preserve">the issue of gender equality was </w:t>
      </w:r>
      <w:r w:rsidR="00F44A9A" w:rsidRPr="15F6EADE">
        <w:rPr>
          <w:lang w:val="en-US"/>
        </w:rPr>
        <w:t xml:space="preserve">already </w:t>
      </w:r>
      <w:r w:rsidRPr="15F6EADE">
        <w:rPr>
          <w:lang w:val="en-US"/>
        </w:rPr>
        <w:t>expanding from beyond questions of women’s roles in churches to secular life.</w:t>
      </w:r>
      <w:r w:rsidRPr="15F6EADE">
        <w:rPr>
          <w:sz w:val="22"/>
          <w:szCs w:val="22"/>
          <w:vertAlign w:val="superscript"/>
          <w:lang w:val="en-US"/>
        </w:rPr>
        <w:footnoteReference w:id="1"/>
      </w:r>
      <w:r w:rsidRPr="15F6EADE">
        <w:rPr>
          <w:lang w:val="en-US"/>
        </w:rPr>
        <w:t xml:space="preserve"> </w:t>
      </w:r>
      <w:r w:rsidR="00F44A9A" w:rsidRPr="15F6EADE">
        <w:rPr>
          <w:lang w:val="en-US"/>
        </w:rPr>
        <w:t>The Antebellum period between</w:t>
      </w:r>
      <w:r w:rsidRPr="15F6EADE">
        <w:rPr>
          <w:lang w:val="en-US"/>
        </w:rPr>
        <w:t xml:space="preserve"> 1832 to 1860</w:t>
      </w:r>
      <w:r w:rsidR="00F44A9A" w:rsidRPr="15F6EADE">
        <w:rPr>
          <w:lang w:val="en-US"/>
        </w:rPr>
        <w:t xml:space="preserve"> </w:t>
      </w:r>
      <w:r w:rsidRPr="15F6EADE">
        <w:rPr>
          <w:lang w:val="en-US"/>
        </w:rPr>
        <w:t xml:space="preserve">marked a time where social reform and economic growth was rampant. </w:t>
      </w:r>
      <w:r w:rsidR="00F44A9A" w:rsidRPr="15F6EADE">
        <w:rPr>
          <w:lang w:val="en-US"/>
        </w:rPr>
        <w:t>It was during the time when women</w:t>
      </w:r>
      <w:r w:rsidRPr="15F6EADE">
        <w:rPr>
          <w:lang w:val="en-US"/>
        </w:rPr>
        <w:t xml:space="preserve"> began to recognize their own absence from roles in leadership. At political meetings and conventions, female voices were often not heard and disregarded</w:t>
      </w:r>
      <w:r w:rsidR="00F44A9A" w:rsidRPr="15F6EADE">
        <w:rPr>
          <w:lang w:val="en-US"/>
        </w:rPr>
        <w:t xml:space="preserve">; they were </w:t>
      </w:r>
      <w:r w:rsidRPr="15F6EADE">
        <w:rPr>
          <w:lang w:val="en-US"/>
        </w:rPr>
        <w:t xml:space="preserve">not considered active participants and leaders. Questions of gender and racial equality grew, fueling social action and movements for groups less often empowered to engage in calls for equality. Free </w:t>
      </w:r>
      <w:r w:rsidR="00F44A9A" w:rsidRPr="15F6EADE">
        <w:rPr>
          <w:lang w:val="en-US"/>
        </w:rPr>
        <w:t>African Americans</w:t>
      </w:r>
      <w:r w:rsidRPr="15F6EADE">
        <w:rPr>
          <w:lang w:val="en-US"/>
        </w:rPr>
        <w:t xml:space="preserve"> in the </w:t>
      </w:r>
      <w:r w:rsidR="003838FB" w:rsidRPr="15F6EADE">
        <w:rPr>
          <w:lang w:val="en-US"/>
        </w:rPr>
        <w:t>North</w:t>
      </w:r>
      <w:r w:rsidRPr="15F6EADE">
        <w:rPr>
          <w:lang w:val="en-US"/>
        </w:rPr>
        <w:t xml:space="preserve"> were motivated to participate in social justice, hoping to reshape the definition of freedom in America and address issues of inequality.</w:t>
      </w:r>
      <w:r w:rsidRPr="15F6EADE">
        <w:rPr>
          <w:sz w:val="22"/>
          <w:szCs w:val="22"/>
          <w:vertAlign w:val="superscript"/>
          <w:lang w:val="en-US"/>
        </w:rPr>
        <w:footnoteReference w:id="2"/>
      </w:r>
      <w:r w:rsidRPr="15F6EADE">
        <w:rPr>
          <w:lang w:val="en-US"/>
        </w:rPr>
        <w:t xml:space="preserve"> </w:t>
      </w:r>
      <w:r w:rsidR="003838FB" w:rsidRPr="15F6EADE">
        <w:rPr>
          <w:lang w:val="en-US"/>
        </w:rPr>
        <w:t>Among them</w:t>
      </w:r>
      <w:r w:rsidRPr="15F6EADE">
        <w:rPr>
          <w:lang w:val="en-US"/>
        </w:rPr>
        <w:t xml:space="preserve">, free </w:t>
      </w:r>
      <w:r w:rsidR="00F44A9A" w:rsidRPr="15F6EADE">
        <w:rPr>
          <w:lang w:val="en-US"/>
        </w:rPr>
        <w:t>African American</w:t>
      </w:r>
      <w:r w:rsidRPr="15F6EADE">
        <w:rPr>
          <w:lang w:val="en-US"/>
        </w:rPr>
        <w:t xml:space="preserve"> women </w:t>
      </w:r>
      <w:r w:rsidR="003838FB" w:rsidRPr="15F6EADE">
        <w:rPr>
          <w:lang w:val="en-US"/>
        </w:rPr>
        <w:t>played a pivotal role, helping</w:t>
      </w:r>
      <w:r w:rsidRPr="15F6EADE">
        <w:rPr>
          <w:lang w:val="en-US"/>
        </w:rPr>
        <w:t xml:space="preserve"> to “reshape and broaden the very concept of political action.”</w:t>
      </w:r>
      <w:r w:rsidRPr="15F6EADE">
        <w:rPr>
          <w:sz w:val="22"/>
          <w:szCs w:val="22"/>
          <w:vertAlign w:val="superscript"/>
          <w:lang w:val="en-US"/>
        </w:rPr>
        <w:footnoteReference w:id="3"/>
      </w:r>
      <w:r w:rsidRPr="15F6EADE">
        <w:rPr>
          <w:lang w:val="en-US"/>
        </w:rPr>
        <w:t xml:space="preserve"> </w:t>
      </w:r>
      <w:r w:rsidR="003838FB" w:rsidRPr="15F6EADE">
        <w:rPr>
          <w:lang w:val="en-US"/>
        </w:rPr>
        <w:t xml:space="preserve">Through their contribution to the </w:t>
      </w:r>
      <w:r w:rsidRPr="15F6EADE">
        <w:rPr>
          <w:lang w:val="en-US"/>
        </w:rPr>
        <w:t xml:space="preserve">antislavery movement and the </w:t>
      </w:r>
      <w:r w:rsidR="003838FB" w:rsidRPr="15F6EADE">
        <w:rPr>
          <w:lang w:val="en-US"/>
        </w:rPr>
        <w:t>creation and spread of reform societies</w:t>
      </w:r>
      <w:r w:rsidRPr="15F6EADE">
        <w:rPr>
          <w:lang w:val="en-US"/>
        </w:rPr>
        <w:t xml:space="preserve">, </w:t>
      </w:r>
      <w:r w:rsidR="003838FB" w:rsidRPr="15F6EADE">
        <w:rPr>
          <w:lang w:val="en-US"/>
        </w:rPr>
        <w:t>these women laid important groundwork for the women’s rights movement.</w:t>
      </w:r>
    </w:p>
    <w:p w14:paraId="7D4B479F" w14:textId="47451C83" w:rsidR="00D34C81" w:rsidRDefault="00C31AE7">
      <w:pPr>
        <w:ind w:left="-15" w:firstLine="720"/>
      </w:pPr>
      <w:r w:rsidRPr="15F6EADE">
        <w:rPr>
          <w:lang w:val="en-US"/>
        </w:rPr>
        <w:t xml:space="preserve">The women’s suffrage movement of the nineteenth and early twentieth centuries in the United States was a critical turning point for women’s rights and empowerment. The movement quickly spread nationwide, and women publicly took to the streets to march and protest for their rights. It was a fight that would take decades to </w:t>
      </w:r>
      <w:r w:rsidR="7758AEC8" w:rsidRPr="15F6EADE">
        <w:rPr>
          <w:lang w:val="en-US"/>
        </w:rPr>
        <w:t>win but</w:t>
      </w:r>
      <w:r w:rsidRPr="15F6EADE">
        <w:rPr>
          <w:lang w:val="en-US"/>
        </w:rPr>
        <w:t xml:space="preserve"> would culminate in 1920 with the </w:t>
      </w:r>
      <w:r w:rsidRPr="15F6EADE">
        <w:rPr>
          <w:lang w:val="en-US"/>
        </w:rPr>
        <w:lastRenderedPageBreak/>
        <w:t xml:space="preserve">passage of the 19th amendment. Though, was the women’s suffrage movement inclusive of all women or was it aimed to benefit only white </w:t>
      </w:r>
      <w:r w:rsidR="003838FB" w:rsidRPr="15F6EADE">
        <w:rPr>
          <w:lang w:val="en-US"/>
        </w:rPr>
        <w:t>women</w:t>
      </w:r>
      <w:r w:rsidRPr="15F6EADE">
        <w:rPr>
          <w:lang w:val="en-US"/>
        </w:rPr>
        <w:t xml:space="preserve">? Opinions and beliefs about </w:t>
      </w:r>
      <w:r w:rsidR="003838FB" w:rsidRPr="15F6EADE">
        <w:rPr>
          <w:lang w:val="en-US"/>
        </w:rPr>
        <w:t>African American</w:t>
      </w:r>
      <w:r w:rsidRPr="15F6EADE">
        <w:rPr>
          <w:lang w:val="en-US"/>
        </w:rPr>
        <w:t xml:space="preserve"> women’s suffrage and freedoms varied widely among </w:t>
      </w:r>
      <w:r w:rsidR="003838FB" w:rsidRPr="15F6EADE">
        <w:rPr>
          <w:lang w:val="en-US"/>
        </w:rPr>
        <w:t xml:space="preserve">supporters and </w:t>
      </w:r>
      <w:r w:rsidR="00EA0BAC" w:rsidRPr="15F6EADE">
        <w:rPr>
          <w:lang w:val="en-US"/>
        </w:rPr>
        <w:t>nonparticipants</w:t>
      </w:r>
      <w:r w:rsidR="003838FB" w:rsidRPr="15F6EADE">
        <w:rPr>
          <w:lang w:val="en-US"/>
        </w:rPr>
        <w:t xml:space="preserve"> of the movement</w:t>
      </w:r>
      <w:r w:rsidRPr="15F6EADE">
        <w:rPr>
          <w:lang w:val="en-US"/>
        </w:rPr>
        <w:t xml:space="preserve">. During the women’s suffrage movement, </w:t>
      </w:r>
      <w:r w:rsidR="003838FB" w:rsidRPr="15F6EADE">
        <w:rPr>
          <w:lang w:val="en-US"/>
        </w:rPr>
        <w:t>African American</w:t>
      </w:r>
      <w:r w:rsidRPr="15F6EADE">
        <w:rPr>
          <w:lang w:val="en-US"/>
        </w:rPr>
        <w:t xml:space="preserve"> women were excluded </w:t>
      </w:r>
      <w:proofErr w:type="gramStart"/>
      <w:r w:rsidRPr="15F6EADE">
        <w:rPr>
          <w:lang w:val="en-US"/>
        </w:rPr>
        <w:t>on the basis of</w:t>
      </w:r>
      <w:proofErr w:type="gramEnd"/>
      <w:r w:rsidRPr="15F6EADE">
        <w:rPr>
          <w:lang w:val="en-US"/>
        </w:rPr>
        <w:t xml:space="preserve"> education and racial misconceptions. </w:t>
      </w:r>
      <w:r w:rsidR="003838FB" w:rsidRPr="15F6EADE">
        <w:rPr>
          <w:lang w:val="en-US"/>
        </w:rPr>
        <w:t>Despite this</w:t>
      </w:r>
      <w:r w:rsidRPr="15F6EADE">
        <w:rPr>
          <w:lang w:val="en-US"/>
        </w:rPr>
        <w:t xml:space="preserve">, </w:t>
      </w:r>
      <w:r w:rsidR="003838FB" w:rsidRPr="15F6EADE">
        <w:rPr>
          <w:lang w:val="en-US"/>
        </w:rPr>
        <w:t xml:space="preserve">African American </w:t>
      </w:r>
      <w:r w:rsidR="0010246C" w:rsidRPr="15F6EADE">
        <w:rPr>
          <w:lang w:val="en-US"/>
        </w:rPr>
        <w:t>activists</w:t>
      </w:r>
      <w:r w:rsidR="003838FB" w:rsidRPr="15F6EADE">
        <w:rPr>
          <w:lang w:val="en-US"/>
        </w:rPr>
        <w:t xml:space="preserve"> like</w:t>
      </w:r>
      <w:r w:rsidRPr="15F6EADE">
        <w:rPr>
          <w:lang w:val="en-US"/>
        </w:rPr>
        <w:t xml:space="preserve"> Sojourner Truth and Frances Ellen Watkins Harper advocated for the inclusion of Black women and their right to vote.</w:t>
      </w:r>
    </w:p>
    <w:p w14:paraId="5C271B60" w14:textId="45A2006C" w:rsidR="0010246C" w:rsidRDefault="00C31AE7">
      <w:pPr>
        <w:ind w:left="-15" w:firstLine="720"/>
      </w:pPr>
      <w:r w:rsidRPr="15F6EADE">
        <w:rPr>
          <w:lang w:val="en-US"/>
        </w:rPr>
        <w:t xml:space="preserve">There was a common misjudgment that </w:t>
      </w:r>
      <w:r w:rsidR="0010246C" w:rsidRPr="15F6EADE">
        <w:rPr>
          <w:lang w:val="en-US"/>
        </w:rPr>
        <w:t>African American</w:t>
      </w:r>
      <w:r w:rsidRPr="15F6EADE">
        <w:rPr>
          <w:lang w:val="en-US"/>
        </w:rPr>
        <w:t xml:space="preserve"> women lacked a certain </w:t>
      </w:r>
      <w:proofErr w:type="gramStart"/>
      <w:r w:rsidR="00EA0BAC" w:rsidRPr="15F6EADE">
        <w:rPr>
          <w:lang w:val="en-US"/>
        </w:rPr>
        <w:t>intelligence</w:t>
      </w:r>
      <w:proofErr w:type="gramEnd"/>
      <w:r w:rsidR="00EA0BAC" w:rsidRPr="15F6EADE">
        <w:rPr>
          <w:lang w:val="en-US"/>
        </w:rPr>
        <w:t xml:space="preserve"> </w:t>
      </w:r>
      <w:r w:rsidRPr="15F6EADE">
        <w:rPr>
          <w:lang w:val="en-US"/>
        </w:rPr>
        <w:t>and</w:t>
      </w:r>
      <w:r w:rsidR="0010246C" w:rsidRPr="15F6EADE">
        <w:rPr>
          <w:lang w:val="en-US"/>
        </w:rPr>
        <w:t xml:space="preserve">, </w:t>
      </w:r>
      <w:r w:rsidRPr="15F6EADE">
        <w:rPr>
          <w:lang w:val="en-US"/>
        </w:rPr>
        <w:t xml:space="preserve">because of this, they were not worthy of having social equality. This belief was carried by much of the white </w:t>
      </w:r>
      <w:r w:rsidR="0010246C" w:rsidRPr="15F6EADE">
        <w:rPr>
          <w:lang w:val="en-US"/>
        </w:rPr>
        <w:t>population,</w:t>
      </w:r>
      <w:r w:rsidRPr="15F6EADE">
        <w:rPr>
          <w:lang w:val="en-US"/>
        </w:rPr>
        <w:t xml:space="preserve"> and it spanned the entirety of the nineteenth century. </w:t>
      </w:r>
    </w:p>
    <w:p w14:paraId="7C90FACE" w14:textId="3D1DC4AE" w:rsidR="0010246C" w:rsidRPr="0010246C" w:rsidRDefault="0010246C" w:rsidP="0010246C">
      <w:pPr>
        <w:spacing w:before="100" w:beforeAutospacing="1" w:after="100" w:afterAutospacing="1" w:line="480" w:lineRule="auto"/>
        <w:ind w:left="0" w:firstLine="705"/>
        <w:rPr>
          <w:color w:val="auto"/>
          <w:kern w:val="0"/>
          <w:lang w:val="en-US" w:eastAsia="en-US"/>
          <w14:ligatures w14:val="none"/>
        </w:rPr>
      </w:pPr>
      <w:r w:rsidRPr="0010246C">
        <w:rPr>
          <w:color w:val="auto"/>
          <w:kern w:val="0"/>
          <w:lang w:val="en-US" w:eastAsia="en-US"/>
          <w14:ligatures w14:val="none"/>
        </w:rPr>
        <w:t>During the Antebellum period, despite the efforts of many white abolitionists, “the commitment to antislavery did not… elevate the Negro to a level of social equality, and the specter of ‘racial intermingling’ haunted the movement.”</w:t>
      </w:r>
      <w:r w:rsidR="00E66EFE">
        <w:rPr>
          <w:rStyle w:val="FootnoteReference"/>
          <w:color w:val="auto"/>
          <w:kern w:val="0"/>
          <w:lang w:val="en-US" w:eastAsia="en-US"/>
          <w14:ligatures w14:val="none"/>
        </w:rPr>
        <w:footnoteReference w:id="4"/>
      </w:r>
      <w:r w:rsidRPr="0010246C">
        <w:rPr>
          <w:color w:val="auto"/>
          <w:kern w:val="0"/>
          <w:lang w:val="en-US" w:eastAsia="en-US"/>
          <w14:ligatures w14:val="none"/>
        </w:rPr>
        <w:t xml:space="preserve"> While many abolitionists called for the end of slavery in the United States before the Civil War, they did not necessarily believe that free Blacks deserved the same rights as whites. Even after the Civil War, there was little sympathy for Black rights, including the right to vote. Although the 15th Amendment to the Constitution was ratified in 1870, granting Black men the legal right to vote, its implementation remained contentious,</w:t>
      </w:r>
      <w:r w:rsidR="00A05BC5">
        <w:rPr>
          <w:color w:val="auto"/>
          <w:kern w:val="0"/>
          <w:lang w:val="en-US" w:eastAsia="en-US"/>
          <w14:ligatures w14:val="none"/>
        </w:rPr>
        <w:t xml:space="preserve"> especially regarding integration,</w:t>
      </w:r>
      <w:r w:rsidRPr="0010246C">
        <w:rPr>
          <w:color w:val="auto"/>
          <w:kern w:val="0"/>
          <w:lang w:val="en-US" w:eastAsia="en-US"/>
          <w14:ligatures w14:val="none"/>
        </w:rPr>
        <w:t xml:space="preserve"> and many </w:t>
      </w:r>
      <w:r w:rsidR="00A05BC5">
        <w:rPr>
          <w:color w:val="auto"/>
          <w:kern w:val="0"/>
          <w:lang w:val="en-US" w:eastAsia="en-US"/>
          <w14:ligatures w14:val="none"/>
        </w:rPr>
        <w:t>continue to be disenfranchised</w:t>
      </w:r>
      <w:r w:rsidRPr="0010246C">
        <w:rPr>
          <w:color w:val="auto"/>
          <w:kern w:val="0"/>
          <w:lang w:val="en-US" w:eastAsia="en-US"/>
          <w14:ligatures w14:val="none"/>
        </w:rPr>
        <w:t>.</w:t>
      </w:r>
    </w:p>
    <w:p w14:paraId="69ED66C6" w14:textId="1C6F5226" w:rsidR="00D34C81" w:rsidRDefault="00523DA7" w:rsidP="15F6EADE">
      <w:pPr>
        <w:ind w:left="-15" w:firstLine="720"/>
        <w:rPr>
          <w:lang w:val="en-US"/>
        </w:rPr>
      </w:pPr>
      <w:r w:rsidRPr="15F6EADE">
        <w:rPr>
          <w:lang w:val="en-US"/>
        </w:rPr>
        <w:lastRenderedPageBreak/>
        <w:t>Opposers to African American suffrage often used lack of education as a reason against their voting rights. Remarkably, abolitionists like Henry B. Blackwell, husband of suffragist Lucy Stone, and “anti-Black” Democrats like George Train suggested that “educated suffrage” would ensure only well-informed citizens, barring African Americans in their view, should have voting rights.</w:t>
      </w:r>
      <w:r w:rsidRPr="15F6EADE">
        <w:rPr>
          <w:sz w:val="22"/>
          <w:szCs w:val="22"/>
          <w:vertAlign w:val="superscript"/>
          <w:lang w:val="en-US"/>
        </w:rPr>
        <w:footnoteReference w:id="5"/>
      </w:r>
      <w:r w:rsidRPr="15F6EADE">
        <w:rPr>
          <w:lang w:val="en-US"/>
        </w:rPr>
        <w:t xml:space="preserve"> Both advocators and opposers to women’s suffrage, men and women alike, seemed to believe “the only thing that will make the south secure is to take away the right of franchise from the many uneducated negroes and place it in the hands of educated and intelligent white women.”</w:t>
      </w:r>
      <w:r w:rsidRPr="15F6EADE">
        <w:rPr>
          <w:sz w:val="22"/>
          <w:szCs w:val="22"/>
          <w:vertAlign w:val="superscript"/>
          <w:lang w:val="en-US"/>
        </w:rPr>
        <w:footnoteReference w:id="6"/>
      </w:r>
      <w:r w:rsidRPr="15F6EADE">
        <w:rPr>
          <w:lang w:val="en-US"/>
        </w:rPr>
        <w:t xml:space="preserve"> They favored this educated suffrage movement, which would enact educational qualifications for citizens to vote, because they believed it would deprive African American women of the right to vote since they held the misconception that </w:t>
      </w:r>
      <w:r w:rsidR="00335197" w:rsidRPr="15F6EADE">
        <w:rPr>
          <w:lang w:val="en-US"/>
        </w:rPr>
        <w:t>African American</w:t>
      </w:r>
      <w:r w:rsidRPr="15F6EADE">
        <w:rPr>
          <w:lang w:val="en-US"/>
        </w:rPr>
        <w:t xml:space="preserve"> women were widely less intelligent and more uneducated than white women. </w:t>
      </w:r>
    </w:p>
    <w:p w14:paraId="538CB03E" w14:textId="6710BE41" w:rsidR="00D34C81" w:rsidRDefault="00C31AE7">
      <w:pPr>
        <w:ind w:left="-15" w:firstLine="720"/>
      </w:pPr>
      <w:r w:rsidRPr="15F6EADE">
        <w:rPr>
          <w:lang w:val="en-US"/>
        </w:rPr>
        <w:t xml:space="preserve">The year 1848 was a pivotal time for the women’s rights movement because the first political woman's rights convention was held in Seneca Falls, New York. It would become known as the Seneca Falls Convention. Male and female advocates of women’s rights met to deliberate about the limitations placed on women in the United States. </w:t>
      </w:r>
      <w:r w:rsidR="00335197" w:rsidRPr="15F6EADE">
        <w:rPr>
          <w:lang w:val="en-US"/>
        </w:rPr>
        <w:t>Simultaneously, the convention took place</w:t>
      </w:r>
      <w:r w:rsidRPr="15F6EADE">
        <w:rPr>
          <w:lang w:val="en-US"/>
        </w:rPr>
        <w:t xml:space="preserve"> </w:t>
      </w:r>
      <w:proofErr w:type="gramStart"/>
      <w:r w:rsidRPr="15F6EADE">
        <w:rPr>
          <w:lang w:val="en-US"/>
        </w:rPr>
        <w:t>in the midst of</w:t>
      </w:r>
      <w:proofErr w:type="gramEnd"/>
      <w:r w:rsidRPr="15F6EADE">
        <w:rPr>
          <w:lang w:val="en-US"/>
        </w:rPr>
        <w:t xml:space="preserve"> the Market Revolution. During this </w:t>
      </w:r>
      <w:r w:rsidR="00335197" w:rsidRPr="15F6EADE">
        <w:rPr>
          <w:lang w:val="en-US"/>
        </w:rPr>
        <w:t>period</w:t>
      </w:r>
      <w:r w:rsidRPr="15F6EADE">
        <w:rPr>
          <w:lang w:val="en-US"/>
        </w:rPr>
        <w:t xml:space="preserve">, America </w:t>
      </w:r>
      <w:r w:rsidR="00335197" w:rsidRPr="15F6EADE">
        <w:rPr>
          <w:lang w:val="en-US"/>
        </w:rPr>
        <w:t>experienced</w:t>
      </w:r>
      <w:r w:rsidRPr="15F6EADE">
        <w:rPr>
          <w:lang w:val="en-US"/>
        </w:rPr>
        <w:t xml:space="preserve"> </w:t>
      </w:r>
      <w:r w:rsidR="00335197" w:rsidRPr="15F6EADE">
        <w:rPr>
          <w:lang w:val="en-US"/>
        </w:rPr>
        <w:t>massive population growth</w:t>
      </w:r>
      <w:r w:rsidRPr="15F6EADE">
        <w:rPr>
          <w:lang w:val="en-US"/>
        </w:rPr>
        <w:t xml:space="preserve">, </w:t>
      </w:r>
      <w:r w:rsidR="00335197" w:rsidRPr="15F6EADE">
        <w:rPr>
          <w:lang w:val="en-US"/>
        </w:rPr>
        <w:t>westward expansion</w:t>
      </w:r>
      <w:r w:rsidRPr="15F6EADE">
        <w:rPr>
          <w:lang w:val="en-US"/>
        </w:rPr>
        <w:t xml:space="preserve">, and </w:t>
      </w:r>
      <w:r w:rsidR="00335197" w:rsidRPr="15F6EADE">
        <w:rPr>
          <w:lang w:val="en-US"/>
        </w:rPr>
        <w:t xml:space="preserve">a major shift in social </w:t>
      </w:r>
      <w:r w:rsidR="00335197" w:rsidRPr="15F6EADE">
        <w:rPr>
          <w:lang w:val="en-US"/>
        </w:rPr>
        <w:lastRenderedPageBreak/>
        <w:t>mindsets</w:t>
      </w:r>
      <w:r w:rsidRPr="15F6EADE">
        <w:rPr>
          <w:lang w:val="en-US"/>
        </w:rPr>
        <w:t xml:space="preserve">. </w:t>
      </w:r>
      <w:r w:rsidR="00335197" w:rsidRPr="15F6EADE">
        <w:rPr>
          <w:lang w:val="en-US"/>
        </w:rPr>
        <w:t>Both antislavery and women’s equal rights movements continue to spread during this period</w:t>
      </w:r>
      <w:r w:rsidRPr="15F6EADE">
        <w:rPr>
          <w:lang w:val="en-US"/>
        </w:rPr>
        <w:t xml:space="preserve">, but these progressive ideas </w:t>
      </w:r>
      <w:r w:rsidR="00335197" w:rsidRPr="15F6EADE">
        <w:rPr>
          <w:lang w:val="en-US"/>
        </w:rPr>
        <w:t xml:space="preserve">still </w:t>
      </w:r>
      <w:r w:rsidRPr="15F6EADE">
        <w:rPr>
          <w:lang w:val="en-US"/>
        </w:rPr>
        <w:t>felt unfamiliar to many Americans.</w:t>
      </w:r>
      <w:r w:rsidRPr="15F6EADE">
        <w:rPr>
          <w:sz w:val="22"/>
          <w:szCs w:val="22"/>
          <w:vertAlign w:val="superscript"/>
          <w:lang w:val="en-US"/>
        </w:rPr>
        <w:footnoteReference w:id="7"/>
      </w:r>
      <w:r w:rsidRPr="15F6EADE">
        <w:rPr>
          <w:lang w:val="en-US"/>
        </w:rPr>
        <w:t xml:space="preserve"> </w:t>
      </w:r>
    </w:p>
    <w:p w14:paraId="57520D18" w14:textId="6EB6EE4B" w:rsidR="00D34C81" w:rsidRDefault="00C31AE7">
      <w:pPr>
        <w:ind w:left="-15" w:firstLine="720"/>
      </w:pPr>
      <w:r>
        <w:t>Even though some Americans felt discomfort with these new ideas, “in an effort to regain a sense of community and control over the nation’s future, Americans, especially women, formed and joined reform societies.”</w:t>
      </w:r>
      <w:r>
        <w:rPr>
          <w:sz w:val="22"/>
          <w:vertAlign w:val="superscript"/>
        </w:rPr>
        <w:footnoteReference w:id="8"/>
      </w:r>
      <w:r>
        <w:t xml:space="preserve"> These reform societies aimed to address a </w:t>
      </w:r>
      <w:r w:rsidR="00335197">
        <w:t xml:space="preserve">large </w:t>
      </w:r>
      <w:r>
        <w:t xml:space="preserve">range of issues </w:t>
      </w:r>
      <w:r w:rsidR="00335197">
        <w:t>they</w:t>
      </w:r>
      <w:r>
        <w:t xml:space="preserve"> viewed as evil and thought </w:t>
      </w:r>
      <w:r w:rsidR="00335197">
        <w:t>negatively impacted</w:t>
      </w:r>
      <w:r>
        <w:t xml:space="preserve"> the</w:t>
      </w:r>
      <w:r w:rsidR="00335197">
        <w:t>ir entire community in terms of both moral degradation and public disutility</w:t>
      </w:r>
      <w:r>
        <w:t xml:space="preserve">. This included the institution of slavery, </w:t>
      </w:r>
      <w:r w:rsidR="00335197">
        <w:t xml:space="preserve">the </w:t>
      </w:r>
      <w:r>
        <w:t xml:space="preserve">unfavorable treatment of those with mental illnesses, </w:t>
      </w:r>
      <w:r w:rsidR="00335197">
        <w:t>the</w:t>
      </w:r>
      <w:r>
        <w:t xml:space="preserve"> lack of free public education for children, and most relevant</w:t>
      </w:r>
      <w:r w:rsidR="00335197">
        <w:t xml:space="preserve"> to them,</w:t>
      </w:r>
      <w:r>
        <w:t xml:space="preserve"> the rights of American women.</w:t>
      </w:r>
      <w:r>
        <w:rPr>
          <w:sz w:val="22"/>
          <w:vertAlign w:val="superscript"/>
        </w:rPr>
        <w:footnoteReference w:id="9"/>
      </w:r>
      <w:r>
        <w:t xml:space="preserve"> Thus, the Seneca Falls Convention was simply part of a larger reform movement emerging in the United States</w:t>
      </w:r>
      <w:r w:rsidR="008A4420">
        <w:t xml:space="preserve">, and not its origin. </w:t>
      </w:r>
    </w:p>
    <w:p w14:paraId="01CD3201" w14:textId="77777777" w:rsidR="00D34C81" w:rsidRDefault="00C31AE7">
      <w:pPr>
        <w:ind w:left="-15" w:firstLine="720"/>
      </w:pPr>
      <w:r>
        <w:t xml:space="preserve">At the Seneca Falls Convention, participants crafted the </w:t>
      </w:r>
      <w:r w:rsidRPr="008A4420">
        <w:t>Declaration of Sentiments</w:t>
      </w:r>
      <w:r>
        <w:t xml:space="preserve"> which was modeled after Thomas Jefferson’s Declaration of Independence. The Declaration of </w:t>
      </w:r>
    </w:p>
    <w:p w14:paraId="38041380" w14:textId="06DF02CC" w:rsidR="00D34C81" w:rsidRDefault="00C31AE7">
      <w:pPr>
        <w:ind w:left="-5"/>
      </w:pPr>
      <w:r w:rsidRPr="15F6EADE">
        <w:rPr>
          <w:lang w:val="en-US"/>
        </w:rPr>
        <w:t>Sentiments declared: “All men and women are created equal;</w:t>
      </w:r>
      <w:r w:rsidRPr="15F6EADE">
        <w:rPr>
          <w:color w:val="212529"/>
          <w:lang w:val="en-US"/>
        </w:rPr>
        <w:t xml:space="preserve"> that they are endowed by their Creator with certain inalienable rights; </w:t>
      </w:r>
      <w:r w:rsidRPr="15F6EADE">
        <w:rPr>
          <w:lang w:val="en-US"/>
        </w:rPr>
        <w:t>that among these are life, liberty, and the pursuit of happiness.”</w:t>
      </w:r>
      <w:r w:rsidRPr="15F6EADE">
        <w:rPr>
          <w:sz w:val="22"/>
          <w:szCs w:val="22"/>
          <w:vertAlign w:val="superscript"/>
          <w:lang w:val="en-US"/>
        </w:rPr>
        <w:footnoteReference w:id="10"/>
      </w:r>
      <w:r w:rsidRPr="15F6EADE">
        <w:rPr>
          <w:lang w:val="en-US"/>
        </w:rPr>
        <w:t xml:space="preserve"> </w:t>
      </w:r>
      <w:r w:rsidR="008A4420" w:rsidRPr="15F6EADE">
        <w:rPr>
          <w:lang w:val="en-US"/>
        </w:rPr>
        <w:t>Most obviously, it expanded upon Jefferson’s</w:t>
      </w:r>
      <w:r w:rsidRPr="15F6EADE">
        <w:rPr>
          <w:lang w:val="en-US"/>
        </w:rPr>
        <w:t xml:space="preserve"> “all men are created equal” </w:t>
      </w:r>
      <w:r w:rsidR="008A4420" w:rsidRPr="15F6EADE">
        <w:rPr>
          <w:lang w:val="en-US"/>
        </w:rPr>
        <w:t>by adding women.</w:t>
      </w:r>
      <w:r w:rsidRPr="15F6EADE">
        <w:rPr>
          <w:lang w:val="en-US"/>
        </w:rPr>
        <w:t xml:space="preserve"> </w:t>
      </w:r>
      <w:r w:rsidR="008A4420" w:rsidRPr="15F6EADE">
        <w:rPr>
          <w:lang w:val="en-US"/>
        </w:rPr>
        <w:t>Continuing to mimic Jefferson, the</w:t>
      </w:r>
      <w:r w:rsidRPr="15F6EADE">
        <w:rPr>
          <w:lang w:val="en-US"/>
        </w:rPr>
        <w:t xml:space="preserve"> Declaration also featured a list of grievances describing the various ways in which women had been wronged throughout history. The document outlined the credence in the belief that “the history of mankind is a history of repeated injuries and usurpations on the part of man toward woman, having in direct object the </w:t>
      </w:r>
      <w:r w:rsidRPr="15F6EADE">
        <w:rPr>
          <w:lang w:val="en-US"/>
        </w:rPr>
        <w:lastRenderedPageBreak/>
        <w:t>establishment of an absolute tyranny over her.”</w:t>
      </w:r>
      <w:r w:rsidRPr="15F6EADE">
        <w:rPr>
          <w:sz w:val="22"/>
          <w:szCs w:val="22"/>
          <w:vertAlign w:val="superscript"/>
          <w:lang w:val="en-US"/>
        </w:rPr>
        <w:footnoteReference w:id="11"/>
      </w:r>
      <w:r w:rsidRPr="15F6EADE">
        <w:rPr>
          <w:lang w:val="en-US"/>
        </w:rPr>
        <w:t xml:space="preserve"> T</w:t>
      </w:r>
      <w:r w:rsidR="008A4420" w:rsidRPr="15F6EADE">
        <w:rPr>
          <w:lang w:val="en-US"/>
        </w:rPr>
        <w:t xml:space="preserve">his Declaration </w:t>
      </w:r>
      <w:r w:rsidRPr="15F6EADE">
        <w:rPr>
          <w:lang w:val="en-US"/>
        </w:rPr>
        <w:t xml:space="preserve">brought to the forefront the struggle for women’s rights in the United States. As this issue became more prominent and canvassed throughout the country, the </w:t>
      </w:r>
      <w:r w:rsidR="4D601193" w:rsidRPr="15F6EADE">
        <w:rPr>
          <w:lang w:val="en-US"/>
        </w:rPr>
        <w:t>women’s</w:t>
      </w:r>
      <w:r w:rsidRPr="15F6EADE">
        <w:rPr>
          <w:lang w:val="en-US"/>
        </w:rPr>
        <w:t xml:space="preserve"> suffrage movement began to gain traction and momentum as well.</w:t>
      </w:r>
    </w:p>
    <w:p w14:paraId="7580F1D9" w14:textId="4992D0DA" w:rsidR="00E66EFE" w:rsidRDefault="00C31AE7" w:rsidP="15F6EADE">
      <w:pPr>
        <w:ind w:left="-15" w:firstLine="720"/>
        <w:rPr>
          <w:lang w:val="en-US"/>
        </w:rPr>
      </w:pPr>
      <w:r w:rsidRPr="15F6EADE">
        <w:rPr>
          <w:lang w:val="en-US"/>
        </w:rPr>
        <w:t>After the Seneca Falls Convention, several prominent women’s rights organizations emerged. Yet, some of these organizations demonstrated they would not be inclusive of all women</w:t>
      </w:r>
      <w:r w:rsidR="008A4420" w:rsidRPr="15F6EADE">
        <w:rPr>
          <w:lang w:val="en-US"/>
        </w:rPr>
        <w:t xml:space="preserve"> </w:t>
      </w:r>
      <w:r w:rsidRPr="15F6EADE">
        <w:rPr>
          <w:lang w:val="en-US"/>
        </w:rPr>
        <w:t xml:space="preserve">in the fight for </w:t>
      </w:r>
      <w:r w:rsidR="00E66EFE" w:rsidRPr="15F6EADE">
        <w:rPr>
          <w:lang w:val="en-US"/>
        </w:rPr>
        <w:t>equal rights</w:t>
      </w:r>
      <w:r w:rsidRPr="15F6EADE">
        <w:rPr>
          <w:lang w:val="en-US"/>
        </w:rPr>
        <w:t>. The New York Female Society, for example, did not allow Black women to join their membership.</w:t>
      </w:r>
      <w:r w:rsidRPr="15F6EADE">
        <w:rPr>
          <w:sz w:val="22"/>
          <w:szCs w:val="22"/>
          <w:vertAlign w:val="superscript"/>
          <w:lang w:val="en-US"/>
        </w:rPr>
        <w:footnoteReference w:id="12"/>
      </w:r>
      <w:r w:rsidRPr="15F6EADE">
        <w:rPr>
          <w:lang w:val="en-US"/>
        </w:rPr>
        <w:t xml:space="preserve"> The Women of Fall </w:t>
      </w:r>
      <w:r w:rsidR="00E66EFE" w:rsidRPr="15F6EADE">
        <w:rPr>
          <w:lang w:val="en-US"/>
        </w:rPr>
        <w:t>Rivers in Massachusetts were willing to allow Black women to join their organization, but they refused to recognize them on an 'equal footing' with white women.</w:t>
      </w:r>
      <w:r w:rsidR="00E66EFE" w:rsidRPr="15F6EADE">
        <w:rPr>
          <w:rStyle w:val="FootnoteReference"/>
          <w:lang w:val="en-US"/>
        </w:rPr>
        <w:footnoteReference w:id="13"/>
      </w:r>
      <w:r w:rsidR="00E66EFE" w:rsidRPr="15F6EADE">
        <w:rPr>
          <w:lang w:val="en-US"/>
        </w:rPr>
        <w:t xml:space="preserve"> Even within the well-established women's suffrage movement in the early </w:t>
      </w:r>
      <w:r w:rsidR="0001576E" w:rsidRPr="15F6EADE">
        <w:rPr>
          <w:lang w:val="en-US"/>
        </w:rPr>
        <w:t>20th</w:t>
      </w:r>
      <w:r w:rsidR="00E66EFE" w:rsidRPr="15F6EADE">
        <w:rPr>
          <w:lang w:val="en-US"/>
        </w:rPr>
        <w:t xml:space="preserve"> century, many </w:t>
      </w:r>
      <w:r w:rsidR="0001576E" w:rsidRPr="15F6EADE">
        <w:rPr>
          <w:lang w:val="en-US"/>
        </w:rPr>
        <w:t>supporters</w:t>
      </w:r>
      <w:r w:rsidR="00E66EFE" w:rsidRPr="15F6EADE">
        <w:rPr>
          <w:lang w:val="en-US"/>
        </w:rPr>
        <w:t xml:space="preserve"> of </w:t>
      </w:r>
      <w:r w:rsidR="0001576E" w:rsidRPr="15F6EADE">
        <w:rPr>
          <w:lang w:val="en-US"/>
        </w:rPr>
        <w:t xml:space="preserve">women’s </w:t>
      </w:r>
      <w:r w:rsidR="00E66EFE" w:rsidRPr="15F6EADE">
        <w:rPr>
          <w:lang w:val="en-US"/>
        </w:rPr>
        <w:t>suffrage chose to exclude Black women from their factions. One flyer from an Alabama suffragist argued</w:t>
      </w:r>
      <w:r w:rsidR="0001576E" w:rsidRPr="15F6EADE">
        <w:rPr>
          <w:lang w:val="en-US"/>
        </w:rPr>
        <w:t xml:space="preserve">, </w:t>
      </w:r>
      <w:r w:rsidR="00E66EFE" w:rsidRPr="15F6EADE">
        <w:rPr>
          <w:lang w:val="en-US"/>
        </w:rPr>
        <w:t xml:space="preserve">regarding </w:t>
      </w:r>
      <w:r w:rsidR="0001576E" w:rsidRPr="15F6EADE">
        <w:rPr>
          <w:lang w:val="en-US"/>
        </w:rPr>
        <w:t>the inclusion of</w:t>
      </w:r>
      <w:r w:rsidR="00E66EFE" w:rsidRPr="15F6EADE">
        <w:rPr>
          <w:lang w:val="en-US"/>
        </w:rPr>
        <w:t xml:space="preserve"> </w:t>
      </w:r>
      <w:r w:rsidR="0001576E" w:rsidRPr="15F6EADE">
        <w:rPr>
          <w:lang w:val="en-US"/>
        </w:rPr>
        <w:t xml:space="preserve">Black </w:t>
      </w:r>
      <w:r w:rsidR="00E66EFE" w:rsidRPr="15F6EADE">
        <w:rPr>
          <w:lang w:val="en-US"/>
        </w:rPr>
        <w:t>women: “[T]his, our faithful sentinels tell us, will cause myriads of Negro women to rally at our polling booths, demanding the ballot, which will open upon us a Pandora’s box of ills, summed up in those terrible words: ‘a wreck of our free institutions.’”</w:t>
      </w:r>
      <w:r w:rsidR="00E66EFE" w:rsidRPr="15F6EADE">
        <w:rPr>
          <w:rStyle w:val="FootnoteReference"/>
          <w:lang w:val="en-US"/>
        </w:rPr>
        <w:footnoteReference w:id="14"/>
      </w:r>
    </w:p>
    <w:p w14:paraId="2F47C2C8" w14:textId="6E262154" w:rsidR="00D34C81" w:rsidRDefault="00C31AE7" w:rsidP="00E66EFE">
      <w:pPr>
        <w:ind w:left="-15" w:firstLine="720"/>
      </w:pPr>
      <w:r w:rsidRPr="15F6EADE">
        <w:rPr>
          <w:lang w:val="en-US"/>
        </w:rPr>
        <w:t xml:space="preserve">Still, there were many suffragists who did support the right to vote for all women, including Black women. Inclusion, however, was not a given. Black women had to work hard to </w:t>
      </w:r>
      <w:r w:rsidRPr="15F6EADE">
        <w:rPr>
          <w:lang w:val="en-US"/>
        </w:rPr>
        <w:lastRenderedPageBreak/>
        <w:t>be included in conversations, conventions, and meetings surrounding women’s suffrage. Many prominent Black women at the beginning of the women’s rights</w:t>
      </w:r>
      <w:r w:rsidR="0001576E" w:rsidRPr="15F6EADE">
        <w:rPr>
          <w:lang w:val="en-US"/>
        </w:rPr>
        <w:t xml:space="preserve"> </w:t>
      </w:r>
      <w:r w:rsidRPr="15F6EADE">
        <w:rPr>
          <w:lang w:val="en-US"/>
        </w:rPr>
        <w:t xml:space="preserve">movement would not live to see women gain the right to vote. Even prior to the Civil War, free northern Blacks were remarkably motivated to participate in the social justice movement of the </w:t>
      </w:r>
      <w:r w:rsidR="0001576E" w:rsidRPr="15F6EADE">
        <w:rPr>
          <w:lang w:val="en-US"/>
        </w:rPr>
        <w:t>Antebellum era. There was a prevailing belief that freedom for Blacks was not the same as for whites, and “what was nurtured and continued to evolve in the process was a belief in Black leadership and a sense of race consciousness necessary for organized political action.”</w:t>
      </w:r>
      <w:r w:rsidR="0001576E" w:rsidRPr="15F6EADE">
        <w:rPr>
          <w:rStyle w:val="FootnoteReference"/>
          <w:lang w:val="en-US"/>
        </w:rPr>
        <w:footnoteReference w:id="15"/>
      </w:r>
      <w:r w:rsidR="0001576E" w:rsidRPr="15F6EADE">
        <w:rPr>
          <w:lang w:val="en-US"/>
        </w:rPr>
        <w:t xml:space="preserve"> For example, Maria Stewart, the first African American woman to lecture publicly, did not focus on women’s rights, but instead advocated for the acquisition of civil rights and encouraged Black Americans to become economically independent and more self-sufficient in education.</w:t>
      </w:r>
      <w:r w:rsidR="0001576E" w:rsidRPr="15F6EADE">
        <w:rPr>
          <w:rStyle w:val="FootnoteReference"/>
          <w:lang w:val="en-US"/>
        </w:rPr>
        <w:footnoteReference w:id="16"/>
      </w:r>
      <w:r w:rsidR="0001576E" w:rsidRPr="15F6EADE">
        <w:rPr>
          <w:lang w:val="en-US"/>
        </w:rPr>
        <w:t xml:space="preserve"> She stated in one of her lectures, “Be no longer astonished…that God at this eventful period should raise up your own females…in public and private, to assist those who are endeavoring to stop the strong current of prejudice that flows…against us.”</w:t>
      </w:r>
      <w:r w:rsidR="0001576E" w:rsidRPr="15F6EADE">
        <w:rPr>
          <w:rStyle w:val="FootnoteReference"/>
          <w:lang w:val="en-US"/>
        </w:rPr>
        <w:footnoteReference w:id="17"/>
      </w:r>
      <w:r w:rsidR="0001576E" w:rsidRPr="15F6EADE">
        <w:rPr>
          <w:lang w:val="en-US"/>
        </w:rPr>
        <w:t xml:space="preserve"> Stewart argued that both Black men and white women had failed to do enough to secure equal opportunities for Black women.</w:t>
      </w:r>
    </w:p>
    <w:p w14:paraId="28DC3ECE" w14:textId="70972867" w:rsidR="00D34C81" w:rsidRDefault="00C31AE7">
      <w:pPr>
        <w:ind w:left="-15" w:firstLine="720"/>
      </w:pPr>
      <w:r w:rsidRPr="15F6EADE">
        <w:rPr>
          <w:lang w:val="en-US"/>
        </w:rPr>
        <w:t>Within antislavery movements, participation of women was tolerated, even desired at some points, but women were rarely given leadership positions in antislavery societies. They were especially not given roles if it did not seem appropriate for a woman to obtain.</w:t>
      </w:r>
      <w:r w:rsidRPr="15F6EADE">
        <w:rPr>
          <w:sz w:val="22"/>
          <w:szCs w:val="22"/>
          <w:vertAlign w:val="superscript"/>
          <w:lang w:val="en-US"/>
        </w:rPr>
        <w:footnoteReference w:id="18"/>
      </w:r>
      <w:r w:rsidRPr="15F6EADE">
        <w:rPr>
          <w:lang w:val="en-US"/>
        </w:rPr>
        <w:t xml:space="preserve"> Because of this </w:t>
      </w:r>
      <w:r w:rsidR="00905A86" w:rsidRPr="15F6EADE">
        <w:rPr>
          <w:lang w:val="en-US"/>
        </w:rPr>
        <w:t xml:space="preserve">patronizing </w:t>
      </w:r>
      <w:r w:rsidRPr="15F6EADE">
        <w:rPr>
          <w:lang w:val="en-US"/>
        </w:rPr>
        <w:t xml:space="preserve">attitude towards women’s involvement, women often felt left out. </w:t>
      </w:r>
      <w:r w:rsidR="00905A86" w:rsidRPr="15F6EADE">
        <w:rPr>
          <w:lang w:val="en-US"/>
        </w:rPr>
        <w:t>Despite</w:t>
      </w:r>
      <w:r w:rsidRPr="15F6EADE">
        <w:rPr>
          <w:lang w:val="en-US"/>
        </w:rPr>
        <w:t xml:space="preserve"> this, </w:t>
      </w:r>
      <w:r w:rsidRPr="15F6EADE">
        <w:rPr>
          <w:lang w:val="en-US"/>
        </w:rPr>
        <w:lastRenderedPageBreak/>
        <w:t xml:space="preserve">women who were </w:t>
      </w:r>
      <w:r w:rsidR="00905A86" w:rsidRPr="15F6EADE">
        <w:rPr>
          <w:lang w:val="en-US"/>
        </w:rPr>
        <w:t xml:space="preserve">still </w:t>
      </w:r>
      <w:r w:rsidRPr="15F6EADE">
        <w:rPr>
          <w:lang w:val="en-US"/>
        </w:rPr>
        <w:t xml:space="preserve">able to gain leadership roles in antislavery societies helped to smooth the path for those who would </w:t>
      </w:r>
      <w:r w:rsidR="00905A86" w:rsidRPr="15F6EADE">
        <w:rPr>
          <w:lang w:val="en-US"/>
        </w:rPr>
        <w:t xml:space="preserve">later </w:t>
      </w:r>
      <w:r w:rsidRPr="15F6EADE">
        <w:rPr>
          <w:lang w:val="en-US"/>
        </w:rPr>
        <w:t>become involved with the suffrage movement. Sarah Mapp Douglass, the Forten Women, Mary Shadd Cary, and Susan Paul were among these leading and noteworthy individuals.</w:t>
      </w:r>
      <w:r w:rsidRPr="15F6EADE">
        <w:rPr>
          <w:sz w:val="22"/>
          <w:szCs w:val="22"/>
          <w:vertAlign w:val="superscript"/>
          <w:lang w:val="en-US"/>
        </w:rPr>
        <w:footnoteReference w:id="19"/>
      </w:r>
      <w:r w:rsidRPr="15F6EADE">
        <w:rPr>
          <w:lang w:val="en-US"/>
        </w:rPr>
        <w:t xml:space="preserve"> These women were guided by their families’ morals and quest for civil rights</w:t>
      </w:r>
      <w:r w:rsidR="00905A86" w:rsidRPr="15F6EADE">
        <w:rPr>
          <w:lang w:val="en-US"/>
        </w:rPr>
        <w:t xml:space="preserve">, fervently urging </w:t>
      </w:r>
      <w:r w:rsidRPr="15F6EADE">
        <w:rPr>
          <w:lang w:val="en-US"/>
        </w:rPr>
        <w:t>for a slavery-free country. In the time leading up to the Civil War, “African American women envisioned a universe in which they were not relegated to a sphere of powerlessness.”</w:t>
      </w:r>
      <w:r w:rsidRPr="15F6EADE">
        <w:rPr>
          <w:sz w:val="22"/>
          <w:szCs w:val="22"/>
          <w:vertAlign w:val="superscript"/>
          <w:lang w:val="en-US"/>
        </w:rPr>
        <w:footnoteReference w:id="20"/>
      </w:r>
      <w:r w:rsidRPr="15F6EADE">
        <w:rPr>
          <w:lang w:val="en-US"/>
        </w:rPr>
        <w:t xml:space="preserve"> The women of this age in American history fostered an environment for younger women to follow in their footsteps to be powerful and effective female participants. </w:t>
      </w:r>
    </w:p>
    <w:p w14:paraId="24624053" w14:textId="461BB110" w:rsidR="00D34C81" w:rsidRDefault="00C31AE7">
      <w:pPr>
        <w:ind w:left="-15" w:firstLine="720"/>
      </w:pPr>
      <w:r w:rsidRPr="15F6EADE">
        <w:rPr>
          <w:lang w:val="en-US"/>
        </w:rPr>
        <w:t xml:space="preserve">A prominent leader in the women’s suffrage movement was Susan B. Anthony. She was a white advocate for women’s suffrage, but her stance on Black suffrage was </w:t>
      </w:r>
      <w:r w:rsidR="00905A86" w:rsidRPr="15F6EADE">
        <w:rPr>
          <w:lang w:val="en-US"/>
        </w:rPr>
        <w:t>often contradictory</w:t>
      </w:r>
      <w:r w:rsidRPr="15F6EADE">
        <w:rPr>
          <w:lang w:val="en-US"/>
        </w:rPr>
        <w:t>. At times, she claimed, “The drawing of the color line was a great mistake. If the colored woman is intelligent and womanly, she should have equal representation in any meeting.”</w:t>
      </w:r>
      <w:r w:rsidRPr="15F6EADE">
        <w:rPr>
          <w:sz w:val="22"/>
          <w:szCs w:val="22"/>
          <w:vertAlign w:val="superscript"/>
          <w:lang w:val="en-US"/>
        </w:rPr>
        <w:footnoteReference w:id="21"/>
      </w:r>
      <w:r w:rsidRPr="15F6EADE">
        <w:rPr>
          <w:lang w:val="en-US"/>
        </w:rPr>
        <w:t xml:space="preserve"> She also advocated for, at the time, what would have been the sixteenth amendment to provide suffrage regardless of sex.</w:t>
      </w:r>
      <w:r w:rsidRPr="15F6EADE">
        <w:rPr>
          <w:sz w:val="22"/>
          <w:szCs w:val="22"/>
          <w:vertAlign w:val="superscript"/>
          <w:lang w:val="en-US"/>
        </w:rPr>
        <w:footnoteReference w:id="22"/>
      </w:r>
      <w:r w:rsidRPr="15F6EADE">
        <w:rPr>
          <w:lang w:val="en-US"/>
        </w:rPr>
        <w:t xml:space="preserve"> Furthermore, Anthony believed it was not of American standards and ideal for “one man [to have] the right to vote and another has not.”</w:t>
      </w:r>
      <w:r w:rsidRPr="15F6EADE">
        <w:rPr>
          <w:sz w:val="22"/>
          <w:szCs w:val="22"/>
          <w:vertAlign w:val="superscript"/>
          <w:lang w:val="en-US"/>
        </w:rPr>
        <w:footnoteReference w:id="23"/>
      </w:r>
      <w:r w:rsidRPr="15F6EADE">
        <w:rPr>
          <w:lang w:val="en-US"/>
        </w:rPr>
        <w:t xml:space="preserve"> </w:t>
      </w:r>
      <w:r w:rsidR="00905A86" w:rsidRPr="15F6EADE">
        <w:rPr>
          <w:lang w:val="en-US"/>
        </w:rPr>
        <w:t>But at</w:t>
      </w:r>
      <w:r w:rsidRPr="15F6EADE">
        <w:rPr>
          <w:lang w:val="en-US"/>
        </w:rPr>
        <w:t xml:space="preserve"> the same time, she also partnered with George Train and suffragist Elizabeth Cady Stanton to sponsor a publication entitled </w:t>
      </w:r>
      <w:r w:rsidRPr="15F6EADE">
        <w:rPr>
          <w:i/>
          <w:iCs/>
          <w:lang w:val="en-US"/>
        </w:rPr>
        <w:t xml:space="preserve">The Revolution. </w:t>
      </w:r>
      <w:r w:rsidRPr="15F6EADE">
        <w:rPr>
          <w:lang w:val="en-US"/>
        </w:rPr>
        <w:t xml:space="preserve">It articulated opposition to the fifteenth amendment and characterized </w:t>
      </w:r>
      <w:r w:rsidRPr="15F6EADE">
        <w:rPr>
          <w:lang w:val="en-US"/>
        </w:rPr>
        <w:lastRenderedPageBreak/>
        <w:t>Black men as inferior and criminal. It was an attempt to drive a wedge between Black men and women during the suffrage movement.</w:t>
      </w:r>
      <w:r w:rsidRPr="15F6EADE">
        <w:rPr>
          <w:sz w:val="22"/>
          <w:szCs w:val="22"/>
          <w:vertAlign w:val="superscript"/>
          <w:lang w:val="en-US"/>
        </w:rPr>
        <w:footnoteReference w:id="24"/>
      </w:r>
      <w:r w:rsidRPr="15F6EADE">
        <w:rPr>
          <w:lang w:val="en-US"/>
        </w:rPr>
        <w:t xml:space="preserve"> While Anthony was tolerant of Black women gaining the right to vote, she was not a prominent spokeswoman for Black suffrage. After </w:t>
      </w:r>
      <w:r w:rsidRPr="15F6EADE">
        <w:rPr>
          <w:i/>
          <w:iCs/>
          <w:lang w:val="en-US"/>
        </w:rPr>
        <w:t>The Revolution</w:t>
      </w:r>
      <w:r w:rsidRPr="15F6EADE">
        <w:rPr>
          <w:lang w:val="en-US"/>
        </w:rPr>
        <w:t xml:space="preserve"> was published, leaders amongst the women’s suffrage movement began to splinter over support for Black women’s suffrage.</w:t>
      </w:r>
    </w:p>
    <w:p w14:paraId="60407A82" w14:textId="4CA74348" w:rsidR="008626EC" w:rsidRDefault="00C31AE7" w:rsidP="008626EC">
      <w:pPr>
        <w:ind w:left="-5" w:firstLine="710"/>
      </w:pPr>
      <w:r w:rsidRPr="15F6EADE">
        <w:rPr>
          <w:lang w:val="en-US"/>
        </w:rPr>
        <w:t xml:space="preserve">Sojourner Truth, Amanda Smith, and Frances Ellen Watkins Harper are among some of the most </w:t>
      </w:r>
      <w:r w:rsidR="00905A86" w:rsidRPr="15F6EADE">
        <w:rPr>
          <w:lang w:val="en-US"/>
        </w:rPr>
        <w:t>influential</w:t>
      </w:r>
      <w:r w:rsidRPr="15F6EADE">
        <w:rPr>
          <w:lang w:val="en-US"/>
        </w:rPr>
        <w:t xml:space="preserve"> Black women to have advocated for women’s rights</w:t>
      </w:r>
      <w:r w:rsidR="00905A86" w:rsidRPr="15F6EADE">
        <w:rPr>
          <w:lang w:val="en-US"/>
        </w:rPr>
        <w:t>,</w:t>
      </w:r>
      <w:r w:rsidRPr="15F6EADE">
        <w:rPr>
          <w:lang w:val="en-US"/>
        </w:rPr>
        <w:t xml:space="preserve"> </w:t>
      </w:r>
      <w:r w:rsidR="00905A86" w:rsidRPr="15F6EADE">
        <w:rPr>
          <w:lang w:val="en-US"/>
        </w:rPr>
        <w:t>regardless of race</w:t>
      </w:r>
      <w:r w:rsidRPr="15F6EADE">
        <w:rPr>
          <w:lang w:val="en-US"/>
        </w:rPr>
        <w:t>.</w:t>
      </w:r>
      <w:r w:rsidR="00905A86" w:rsidRPr="15F6EADE">
        <w:rPr>
          <w:lang w:val="en-US"/>
        </w:rPr>
        <w:t xml:space="preserve"> For instance, </w:t>
      </w:r>
      <w:r w:rsidRPr="15F6EADE">
        <w:rPr>
          <w:lang w:val="en-US"/>
        </w:rPr>
        <w:t>Sojourner Truth</w:t>
      </w:r>
      <w:r w:rsidR="00905A86" w:rsidRPr="15F6EADE">
        <w:rPr>
          <w:lang w:val="en-US"/>
        </w:rPr>
        <w:t xml:space="preserve">, </w:t>
      </w:r>
      <w:r w:rsidRPr="15F6EADE">
        <w:rPr>
          <w:lang w:val="en-US"/>
        </w:rPr>
        <w:t>born into slavery</w:t>
      </w:r>
      <w:r w:rsidR="00905A86" w:rsidRPr="15F6EADE">
        <w:rPr>
          <w:lang w:val="en-US"/>
        </w:rPr>
        <w:t>, became</w:t>
      </w:r>
      <w:r w:rsidRPr="15F6EADE">
        <w:rPr>
          <w:lang w:val="en-US"/>
        </w:rPr>
        <w:t xml:space="preserve"> an active advocate for racial and gender equality between the years 1850 and 1870.</w:t>
      </w:r>
      <w:r w:rsidRPr="15F6EADE">
        <w:rPr>
          <w:sz w:val="22"/>
          <w:szCs w:val="22"/>
          <w:vertAlign w:val="superscript"/>
          <w:lang w:val="en-US"/>
        </w:rPr>
        <w:footnoteReference w:id="25"/>
      </w:r>
      <w:r w:rsidRPr="15F6EADE">
        <w:rPr>
          <w:lang w:val="en-US"/>
        </w:rPr>
        <w:t xml:space="preserve"> In the later part of the nineteenth century, Amanda Smith would play a significant role in the founding of the National</w:t>
      </w:r>
      <w:r w:rsidR="008626EC" w:rsidRPr="15F6EADE">
        <w:rPr>
          <w:lang w:val="en-US"/>
        </w:rPr>
        <w:t xml:space="preserve"> Association for the Advancement of Colored People (NAACP).</w:t>
      </w:r>
      <w:r w:rsidR="008626EC" w:rsidRPr="15F6EADE">
        <w:rPr>
          <w:rStyle w:val="FootnoteReference"/>
          <w:lang w:val="en-US"/>
        </w:rPr>
        <w:footnoteReference w:id="26"/>
      </w:r>
      <w:r w:rsidR="008626EC" w:rsidRPr="15F6EADE">
        <w:rPr>
          <w:lang w:val="en-US"/>
        </w:rPr>
        <w:t xml:space="preserve"> Notably, one of the NAACP’s original goals was to eradicate the practice of lynching.</w:t>
      </w:r>
      <w:r w:rsidR="008626EC" w:rsidRPr="15F6EADE">
        <w:rPr>
          <w:sz w:val="22"/>
          <w:szCs w:val="22"/>
          <w:vertAlign w:val="superscript"/>
          <w:lang w:val="en-US"/>
        </w:rPr>
        <w:footnoteReference w:id="27"/>
      </w:r>
      <w:r w:rsidR="008626EC" w:rsidRPr="15F6EADE">
        <w:rPr>
          <w:lang w:val="en-US"/>
        </w:rPr>
        <w:t xml:space="preserve"> Finally, Frances Ellen Watkins Harper “was the single most important black woman leader to figure in both the abolitionist and feminist reform movements.”</w:t>
      </w:r>
      <w:r w:rsidR="008626EC" w:rsidRPr="15F6EADE">
        <w:rPr>
          <w:sz w:val="22"/>
          <w:szCs w:val="22"/>
          <w:vertAlign w:val="superscript"/>
          <w:lang w:val="en-US"/>
        </w:rPr>
        <w:footnoteReference w:id="28"/>
      </w:r>
      <w:r w:rsidR="008626EC" w:rsidRPr="15F6EADE">
        <w:rPr>
          <w:lang w:val="en-US"/>
        </w:rPr>
        <w:t xml:space="preserve"> Her involvement was unique because it spanned a significant portion of the nineteenth century and all across the major eras and movements of the time. She was best known </w:t>
      </w:r>
      <w:r w:rsidR="008626EC" w:rsidRPr="15F6EADE">
        <w:rPr>
          <w:lang w:val="en-US"/>
        </w:rPr>
        <w:lastRenderedPageBreak/>
        <w:t>for her work as an author and poet; she wrote about slavery, discrimination, and African American culture. She wrote with the intent to shed light on the lives of Black Americans and “a clear strain of racial and gender consciousness is found in most of Harper’s lectures and writings.”</w:t>
      </w:r>
      <w:r w:rsidR="008626EC" w:rsidRPr="15F6EADE">
        <w:rPr>
          <w:sz w:val="22"/>
          <w:szCs w:val="22"/>
          <w:vertAlign w:val="superscript"/>
          <w:lang w:val="en-US"/>
        </w:rPr>
        <w:footnoteReference w:id="29"/>
      </w:r>
      <w:r w:rsidR="008626EC" w:rsidRPr="15F6EADE">
        <w:rPr>
          <w:lang w:val="en-US"/>
        </w:rPr>
        <w:t xml:space="preserve"> </w:t>
      </w:r>
    </w:p>
    <w:p w14:paraId="51B3970E" w14:textId="571FB795" w:rsidR="00D34C81" w:rsidRDefault="000A5D6D" w:rsidP="15F6EADE">
      <w:pPr>
        <w:ind w:left="-15" w:firstLine="720"/>
        <w:rPr>
          <w:lang w:val="en-US"/>
        </w:rPr>
      </w:pPr>
      <w:r w:rsidRPr="15F6EADE">
        <w:rPr>
          <w:lang w:val="en-US"/>
        </w:rPr>
        <w:t>Frances Ellen Watkins Harper entered the social reform movement at a critical time</w:t>
      </w:r>
      <w:r w:rsidR="008626EC" w:rsidRPr="15F6EADE">
        <w:rPr>
          <w:lang w:val="en-US"/>
        </w:rPr>
        <w:t>. The</w:t>
      </w:r>
      <w:r w:rsidRPr="15F6EADE">
        <w:rPr>
          <w:lang w:val="en-US"/>
        </w:rPr>
        <w:t xml:space="preserve"> Fugitive Slave Act of 1850 had been recently passed </w:t>
      </w:r>
      <w:r w:rsidR="008626EC" w:rsidRPr="15F6EADE">
        <w:rPr>
          <w:lang w:val="en-US"/>
        </w:rPr>
        <w:t xml:space="preserve">as part of a diplomatically compromise to admit California as a free state, </w:t>
      </w:r>
      <w:r w:rsidRPr="15F6EADE">
        <w:rPr>
          <w:lang w:val="en-US"/>
        </w:rPr>
        <w:t>while also mandating free states</w:t>
      </w:r>
      <w:r w:rsidR="008626EC" w:rsidRPr="15F6EADE">
        <w:rPr>
          <w:lang w:val="en-US"/>
        </w:rPr>
        <w:t xml:space="preserve"> to</w:t>
      </w:r>
      <w:r w:rsidRPr="15F6EADE">
        <w:rPr>
          <w:lang w:val="en-US"/>
        </w:rPr>
        <w:t xml:space="preserve"> return </w:t>
      </w:r>
      <w:r w:rsidR="008626EC" w:rsidRPr="15F6EADE">
        <w:rPr>
          <w:lang w:val="en-US"/>
        </w:rPr>
        <w:t>escaped slaves to their owners</w:t>
      </w:r>
      <w:r w:rsidRPr="15F6EADE">
        <w:rPr>
          <w:lang w:val="en-US"/>
        </w:rPr>
        <w:t xml:space="preserve">. Harper </w:t>
      </w:r>
      <w:r w:rsidR="008626EC" w:rsidRPr="15F6EADE">
        <w:rPr>
          <w:lang w:val="en-US"/>
        </w:rPr>
        <w:t xml:space="preserve">heavily criticized </w:t>
      </w:r>
      <w:r w:rsidRPr="15F6EADE">
        <w:rPr>
          <w:lang w:val="en-US"/>
        </w:rPr>
        <w:t>this</w:t>
      </w:r>
      <w:r w:rsidR="008626EC" w:rsidRPr="15F6EADE">
        <w:rPr>
          <w:lang w:val="en-US"/>
        </w:rPr>
        <w:t xml:space="preserve"> compromise by arguing </w:t>
      </w:r>
      <w:r w:rsidRPr="15F6EADE">
        <w:rPr>
          <w:lang w:val="en-US"/>
        </w:rPr>
        <w:t xml:space="preserve">that </w:t>
      </w:r>
      <w:r w:rsidR="008626EC" w:rsidRPr="15F6EADE">
        <w:rPr>
          <w:lang w:val="en-US"/>
        </w:rPr>
        <w:t>Republicans</w:t>
      </w:r>
      <w:r w:rsidRPr="15F6EADE">
        <w:rPr>
          <w:lang w:val="en-US"/>
        </w:rPr>
        <w:t xml:space="preserve"> allowing for th</w:t>
      </w:r>
      <w:r w:rsidR="008626EC" w:rsidRPr="15F6EADE">
        <w:rPr>
          <w:lang w:val="en-US"/>
        </w:rPr>
        <w:t xml:space="preserve">is </w:t>
      </w:r>
      <w:r w:rsidRPr="15F6EADE">
        <w:rPr>
          <w:lang w:val="en-US"/>
        </w:rPr>
        <w:t>to be passed</w:t>
      </w:r>
      <w:r w:rsidR="008626EC" w:rsidRPr="15F6EADE">
        <w:rPr>
          <w:lang w:val="en-US"/>
        </w:rPr>
        <w:t xml:space="preserve"> </w:t>
      </w:r>
      <w:r w:rsidRPr="15F6EADE">
        <w:rPr>
          <w:lang w:val="en-US"/>
        </w:rPr>
        <w:t xml:space="preserve">were succumbing to the influence of the pro-slavery </w:t>
      </w:r>
      <w:r w:rsidR="008626EC" w:rsidRPr="15F6EADE">
        <w:rPr>
          <w:lang w:val="en-US"/>
        </w:rPr>
        <w:t>South</w:t>
      </w:r>
      <w:r w:rsidRPr="15F6EADE">
        <w:rPr>
          <w:lang w:val="en-US"/>
        </w:rPr>
        <w:t>. She said, in America, there was no place that could be considered “free” so long as there was preferential treatment of whites and African Americans continued to be discriminated against.</w:t>
      </w:r>
      <w:r w:rsidRPr="15F6EADE">
        <w:rPr>
          <w:sz w:val="22"/>
          <w:szCs w:val="22"/>
          <w:vertAlign w:val="superscript"/>
          <w:lang w:val="en-US"/>
        </w:rPr>
        <w:footnoteReference w:id="30"/>
      </w:r>
    </w:p>
    <w:p w14:paraId="71B6C71B" w14:textId="7B505A41" w:rsidR="00D34C81" w:rsidRDefault="00C31AE7" w:rsidP="000A5D6D">
      <w:pPr>
        <w:ind w:left="-5" w:firstLine="710"/>
      </w:pPr>
      <w:r w:rsidRPr="15F6EADE">
        <w:rPr>
          <w:lang w:val="en-US"/>
        </w:rPr>
        <w:t xml:space="preserve">Within the women’s rights movement, white women </w:t>
      </w:r>
      <w:r w:rsidR="000A5D6D" w:rsidRPr="15F6EADE">
        <w:rPr>
          <w:lang w:val="en-US"/>
        </w:rPr>
        <w:t>felt</w:t>
      </w:r>
      <w:r w:rsidRPr="15F6EADE">
        <w:rPr>
          <w:lang w:val="en-US"/>
        </w:rPr>
        <w:t xml:space="preserve"> less threatened by the involvement of Sojourner Truth and Amanda Smith than the involvement of </w:t>
      </w:r>
      <w:r w:rsidR="000A5D6D" w:rsidRPr="15F6EADE">
        <w:rPr>
          <w:lang w:val="en-US"/>
        </w:rPr>
        <w:t xml:space="preserve">Frances Ellen Watkins </w:t>
      </w:r>
      <w:r w:rsidRPr="15F6EADE">
        <w:rPr>
          <w:lang w:val="en-US"/>
        </w:rPr>
        <w:t>Harper</w:t>
      </w:r>
      <w:r w:rsidR="000A5D6D" w:rsidRPr="15F6EADE">
        <w:rPr>
          <w:lang w:val="en-US"/>
        </w:rPr>
        <w:t xml:space="preserve"> because the latter was never a slave</w:t>
      </w:r>
      <w:r w:rsidRPr="15F6EADE">
        <w:rPr>
          <w:lang w:val="en-US"/>
        </w:rPr>
        <w:t xml:space="preserve">. </w:t>
      </w:r>
      <w:r w:rsidR="000A5D6D" w:rsidRPr="15F6EADE">
        <w:rPr>
          <w:lang w:val="en-US"/>
        </w:rPr>
        <w:t>White women felt they could easily</w:t>
      </w:r>
      <w:r w:rsidRPr="15F6EADE">
        <w:rPr>
          <w:lang w:val="en-US"/>
        </w:rPr>
        <w:t xml:space="preserve"> not view </w:t>
      </w:r>
      <w:r w:rsidR="000A5D6D" w:rsidRPr="15F6EADE">
        <w:rPr>
          <w:lang w:val="en-US"/>
        </w:rPr>
        <w:t>Truth and Smith</w:t>
      </w:r>
      <w:r w:rsidRPr="15F6EADE">
        <w:rPr>
          <w:lang w:val="en-US"/>
        </w:rPr>
        <w:t xml:space="preserve"> as social equals because </w:t>
      </w:r>
      <w:r w:rsidR="000A5D6D" w:rsidRPr="15F6EADE">
        <w:rPr>
          <w:lang w:val="en-US"/>
        </w:rPr>
        <w:t>their slave background</w:t>
      </w:r>
      <w:r w:rsidRPr="15F6EADE">
        <w:rPr>
          <w:lang w:val="en-US"/>
        </w:rPr>
        <w:t xml:space="preserve"> </w:t>
      </w:r>
      <w:r w:rsidR="000A5D6D" w:rsidRPr="15F6EADE">
        <w:rPr>
          <w:lang w:val="en-US"/>
        </w:rPr>
        <w:t>made them</w:t>
      </w:r>
      <w:r w:rsidRPr="15F6EADE">
        <w:rPr>
          <w:lang w:val="en-US"/>
        </w:rPr>
        <w:t xml:space="preserve"> think they </w:t>
      </w:r>
      <w:r w:rsidR="000A5D6D" w:rsidRPr="15F6EADE">
        <w:rPr>
          <w:lang w:val="en-US"/>
        </w:rPr>
        <w:t xml:space="preserve">were </w:t>
      </w:r>
      <w:r w:rsidR="0757C9E2" w:rsidRPr="15F6EADE">
        <w:rPr>
          <w:lang w:val="en-US"/>
        </w:rPr>
        <w:t>clearly</w:t>
      </w:r>
      <w:r w:rsidR="000A5D6D" w:rsidRPr="15F6EADE">
        <w:rPr>
          <w:lang w:val="en-US"/>
        </w:rPr>
        <w:t xml:space="preserve"> not</w:t>
      </w:r>
      <w:r w:rsidRPr="15F6EADE">
        <w:rPr>
          <w:lang w:val="en-US"/>
        </w:rPr>
        <w:t xml:space="preserve"> of the same class or culture.</w:t>
      </w:r>
      <w:r w:rsidRPr="15F6EADE">
        <w:rPr>
          <w:sz w:val="22"/>
          <w:szCs w:val="22"/>
          <w:vertAlign w:val="superscript"/>
          <w:lang w:val="en-US"/>
        </w:rPr>
        <w:footnoteReference w:id="31"/>
      </w:r>
      <w:r w:rsidRPr="15F6EADE">
        <w:rPr>
          <w:lang w:val="en-US"/>
        </w:rPr>
        <w:t xml:space="preserve"> White women felt more threatened by </w:t>
      </w:r>
      <w:r w:rsidR="000A5D6D" w:rsidRPr="15F6EADE">
        <w:rPr>
          <w:lang w:val="en-US"/>
        </w:rPr>
        <w:t>Harper’s involvement with the movement because she was born free and they “sensed that she was every bit their intellectual and social equal and that if she had been white she could have ascended to the presidency of one of the national women’s organizations.”</w:t>
      </w:r>
      <w:r w:rsidR="000A5D6D" w:rsidRPr="15F6EADE">
        <w:rPr>
          <w:sz w:val="22"/>
          <w:szCs w:val="22"/>
          <w:vertAlign w:val="superscript"/>
          <w:lang w:val="en-US"/>
        </w:rPr>
        <w:footnoteReference w:id="32"/>
      </w:r>
      <w:r w:rsidR="000A5D6D" w:rsidRPr="15F6EADE">
        <w:rPr>
          <w:lang w:val="en-US"/>
        </w:rPr>
        <w:t xml:space="preserve"> This idea opposed the one many </w:t>
      </w:r>
      <w:r w:rsidR="000A5D6D" w:rsidRPr="15F6EADE">
        <w:rPr>
          <w:lang w:val="en-US"/>
        </w:rPr>
        <w:lastRenderedPageBreak/>
        <w:t>previously held that African Americans were inherently less intelligent. Truth and Harper are well-known for also recognizing the intersection of African American and women’s grievances. Truth remarked in her famed speech “</w:t>
      </w:r>
      <w:proofErr w:type="spellStart"/>
      <w:r w:rsidR="000A5D6D" w:rsidRPr="15F6EADE">
        <w:rPr>
          <w:lang w:val="en-US"/>
        </w:rPr>
        <w:t>Ain’t</w:t>
      </w:r>
      <w:proofErr w:type="spellEnd"/>
      <w:r w:rsidR="000A5D6D" w:rsidRPr="15F6EADE">
        <w:rPr>
          <w:lang w:val="en-US"/>
        </w:rPr>
        <w:t xml:space="preserve"> I a </w:t>
      </w:r>
      <w:proofErr w:type="gramStart"/>
      <w:r w:rsidR="000A5D6D" w:rsidRPr="15F6EADE">
        <w:rPr>
          <w:lang w:val="en-US"/>
        </w:rPr>
        <w:t>woman?:</w:t>
      </w:r>
      <w:proofErr w:type="gramEnd"/>
      <w:r w:rsidR="000A5D6D" w:rsidRPr="15F6EADE">
        <w:rPr>
          <w:lang w:val="en-US"/>
        </w:rPr>
        <w:t>”</w:t>
      </w:r>
    </w:p>
    <w:p w14:paraId="262F90FB" w14:textId="77777777" w:rsidR="00D34C81" w:rsidRDefault="00C31AE7" w:rsidP="15F6EADE">
      <w:pPr>
        <w:ind w:left="730"/>
        <w:rPr>
          <w:lang w:val="en-US"/>
        </w:rPr>
      </w:pPr>
      <w:r w:rsidRPr="15F6EADE">
        <w:rPr>
          <w:lang w:val="en-US"/>
        </w:rPr>
        <w:t xml:space="preserve">“That man over there says that women need to be helped into </w:t>
      </w:r>
      <w:proofErr w:type="spellStart"/>
      <w:proofErr w:type="gramStart"/>
      <w:r w:rsidRPr="15F6EADE">
        <w:rPr>
          <w:lang w:val="en-US"/>
        </w:rPr>
        <w:t>carriages,and</w:t>
      </w:r>
      <w:proofErr w:type="spellEnd"/>
      <w:proofErr w:type="gramEnd"/>
      <w:r w:rsidRPr="15F6EADE">
        <w:rPr>
          <w:lang w:val="en-US"/>
        </w:rPr>
        <w:t xml:space="preserve"> lifted over ditches, and to have the best place everywhere. Nobody ever helps me into carriages, or over mud-puddles, or gives me any best place! And </w:t>
      </w:r>
      <w:proofErr w:type="spellStart"/>
      <w:r w:rsidRPr="15F6EADE">
        <w:rPr>
          <w:lang w:val="en-US"/>
        </w:rPr>
        <w:t>ain’t</w:t>
      </w:r>
      <w:proofErr w:type="spellEnd"/>
      <w:r w:rsidRPr="15F6EADE">
        <w:rPr>
          <w:lang w:val="en-US"/>
        </w:rPr>
        <w:t xml:space="preserve"> I </w:t>
      </w:r>
      <w:proofErr w:type="gramStart"/>
      <w:r w:rsidRPr="15F6EADE">
        <w:rPr>
          <w:lang w:val="en-US"/>
        </w:rPr>
        <w:t>a</w:t>
      </w:r>
      <w:proofErr w:type="gramEnd"/>
      <w:r w:rsidRPr="15F6EADE">
        <w:rPr>
          <w:lang w:val="en-US"/>
        </w:rPr>
        <w:t xml:space="preserve"> woman? Look at me! Look at my arm! I have ploughed and planted, and gathered into barns, and no man could head me! And </w:t>
      </w:r>
      <w:proofErr w:type="spellStart"/>
      <w:r w:rsidRPr="15F6EADE">
        <w:rPr>
          <w:lang w:val="en-US"/>
        </w:rPr>
        <w:t>ain’t</w:t>
      </w:r>
      <w:proofErr w:type="spellEnd"/>
      <w:r w:rsidRPr="15F6EADE">
        <w:rPr>
          <w:lang w:val="en-US"/>
        </w:rPr>
        <w:t xml:space="preserve"> I </w:t>
      </w:r>
      <w:proofErr w:type="gramStart"/>
      <w:r w:rsidRPr="15F6EADE">
        <w:rPr>
          <w:lang w:val="en-US"/>
        </w:rPr>
        <w:t>a</w:t>
      </w:r>
      <w:proofErr w:type="gramEnd"/>
      <w:r w:rsidRPr="15F6EADE">
        <w:rPr>
          <w:lang w:val="en-US"/>
        </w:rPr>
        <w:t xml:space="preserve"> woman?”</w:t>
      </w:r>
      <w:r w:rsidRPr="15F6EADE">
        <w:rPr>
          <w:sz w:val="22"/>
          <w:szCs w:val="22"/>
          <w:vertAlign w:val="superscript"/>
          <w:lang w:val="en-US"/>
        </w:rPr>
        <w:footnoteReference w:id="33"/>
      </w:r>
    </w:p>
    <w:p w14:paraId="09D9C6A7" w14:textId="2BDD29A8" w:rsidR="00D34C81" w:rsidRDefault="00C31AE7" w:rsidP="15F6EADE">
      <w:pPr>
        <w:ind w:left="-5"/>
        <w:rPr>
          <w:lang w:val="en-US"/>
        </w:rPr>
      </w:pPr>
      <w:r w:rsidRPr="15F6EADE">
        <w:rPr>
          <w:lang w:val="en-US"/>
        </w:rPr>
        <w:t xml:space="preserve">Harper and Truth had no choice, they could not ignore these two critical aspects of their identities. When it came to advocating for Black </w:t>
      </w:r>
      <w:r w:rsidRPr="15F6EADE">
        <w:rPr>
          <w:i/>
          <w:iCs/>
          <w:lang w:val="en-US"/>
        </w:rPr>
        <w:t>or</w:t>
      </w:r>
      <w:r w:rsidRPr="15F6EADE">
        <w:rPr>
          <w:lang w:val="en-US"/>
        </w:rPr>
        <w:t xml:space="preserve"> women’s suffrage, they argued for universal suffrage, believing </w:t>
      </w:r>
      <w:r w:rsidR="000A5D6D" w:rsidRPr="15F6EADE">
        <w:rPr>
          <w:lang w:val="en-US"/>
        </w:rPr>
        <w:t xml:space="preserve">they were not mutually exclusive. </w:t>
      </w:r>
      <w:r w:rsidRPr="15F6EADE">
        <w:rPr>
          <w:lang w:val="en-US"/>
        </w:rPr>
        <w:t xml:space="preserve"> </w:t>
      </w:r>
    </w:p>
    <w:p w14:paraId="02A6A381" w14:textId="5E93D757" w:rsidR="00D34C81" w:rsidRDefault="00C31AE7">
      <w:pPr>
        <w:ind w:left="-15" w:firstLine="720"/>
      </w:pPr>
      <w:r>
        <w:t xml:space="preserve">However, not all women’s suffragists agreed with Truth and Harper, and leadership among these organizations split over disagreements about Black suffrage. The National Woman Suffrage Association, led by Stanton and Anthony, and the American Woman Suffrage </w:t>
      </w:r>
    </w:p>
    <w:p w14:paraId="6C5F3DB4" w14:textId="755A848C" w:rsidR="00D34C81" w:rsidRDefault="00C31AE7" w:rsidP="000A5D6D">
      <w:pPr>
        <w:ind w:left="-5"/>
      </w:pPr>
      <w:r>
        <w:t xml:space="preserve">Association </w:t>
      </w:r>
      <w:r w:rsidR="000A5D6D">
        <w:t xml:space="preserve">was </w:t>
      </w:r>
      <w:r>
        <w:t xml:space="preserve">formed, with whom Harper was affiliated. </w:t>
      </w:r>
      <w:r w:rsidR="000A5D6D">
        <w:t>In</w:t>
      </w:r>
      <w:r>
        <w:t xml:space="preserve"> 1890, </w:t>
      </w:r>
      <w:r w:rsidR="000A5D6D">
        <w:t>these two organizations</w:t>
      </w:r>
      <w:r>
        <w:t xml:space="preserve"> merged to form the National American Woman Suffrage Association.</w:t>
      </w:r>
      <w:r>
        <w:rPr>
          <w:sz w:val="22"/>
          <w:vertAlign w:val="superscript"/>
        </w:rPr>
        <w:footnoteReference w:id="34"/>
      </w:r>
      <w:r>
        <w:t xml:space="preserve"> Between the years 1870 and 1890, the women’s suffrage movement concentrated on temperance, social purity, and suppression of vice.</w:t>
      </w:r>
      <w:r>
        <w:rPr>
          <w:sz w:val="22"/>
          <w:vertAlign w:val="superscript"/>
        </w:rPr>
        <w:footnoteReference w:id="35"/>
      </w:r>
      <w:r>
        <w:t xml:space="preserve"> Also, during this time, it was noticed that Black men were the voice for Black people while white feminists were the voice for women</w:t>
      </w:r>
      <w:r w:rsidR="000A5D6D">
        <w:t>—</w:t>
      </w:r>
      <w:r>
        <w:t>neither appropriately address</w:t>
      </w:r>
      <w:r w:rsidR="000A5D6D">
        <w:t>ed</w:t>
      </w:r>
      <w:r>
        <w:t xml:space="preserve"> </w:t>
      </w:r>
      <w:r>
        <w:lastRenderedPageBreak/>
        <w:t xml:space="preserve">the concerns of being </w:t>
      </w:r>
      <w:r w:rsidR="000A5D6D">
        <w:t xml:space="preserve">both </w:t>
      </w:r>
      <w:r>
        <w:t xml:space="preserve">Black </w:t>
      </w:r>
      <w:r>
        <w:rPr>
          <w:i/>
        </w:rPr>
        <w:t>and</w:t>
      </w:r>
      <w:r>
        <w:t xml:space="preserve"> a woman. This is why Harper and Truth’s roles during the second half of the nineteenth century were so </w:t>
      </w:r>
      <w:r w:rsidR="000A5D6D">
        <w:t>crucial, serving as a voice for the neglected African American women.</w:t>
      </w:r>
    </w:p>
    <w:p w14:paraId="1CCF16C2" w14:textId="77777777" w:rsidR="00D34C81" w:rsidRDefault="00C31AE7">
      <w:pPr>
        <w:ind w:left="-15" w:firstLine="720"/>
      </w:pPr>
      <w:r>
        <w:t>Throughout the women’s rights and suffrage movements, while not always categorically included, Black women still demonstrated their inclination and readiness to work with white women to achieve their shared goals of suffrage.</w:t>
      </w:r>
      <w:r>
        <w:rPr>
          <w:sz w:val="22"/>
          <w:vertAlign w:val="superscript"/>
        </w:rPr>
        <w:footnoteReference w:id="36"/>
      </w:r>
      <w:r>
        <w:t xml:space="preserve"> It would be Black women’s “vision of freedom that granted them the right to assume the political responsibilities which neither the state nor some members of their own community acknowledged to be theirs.”</w:t>
      </w:r>
      <w:r>
        <w:rPr>
          <w:sz w:val="22"/>
          <w:vertAlign w:val="superscript"/>
        </w:rPr>
        <w:footnoteReference w:id="37"/>
      </w:r>
      <w:r>
        <w:t xml:space="preserve"> The women’s suffrage movement included Black women, but only to a limited extent. The work that was most productive was accomplished when Black and white women worked together on issues that affected all women: “In many cases, the interracial thrust simply encouraged and won earlier program sanction from governmental officials [and] greater exposure for the programs.”</w:t>
      </w:r>
      <w:r>
        <w:rPr>
          <w:sz w:val="22"/>
          <w:vertAlign w:val="superscript"/>
        </w:rPr>
        <w:footnoteReference w:id="38"/>
      </w:r>
      <w:r>
        <w:t xml:space="preserve"> With the help of influential women, such as Sojourner Truth and Frances Ellen Watkins Harper, Black women were propelled into an environment where they could feel confident advocating for their civil rights and suffrage, even despite others’ objections for them to do so. </w:t>
      </w:r>
    </w:p>
    <w:p w14:paraId="086C794A" w14:textId="77777777" w:rsidR="00EA0BAC" w:rsidRDefault="00EA0BAC">
      <w:pPr>
        <w:spacing w:after="252" w:line="259" w:lineRule="auto"/>
        <w:ind w:left="13"/>
        <w:jc w:val="center"/>
      </w:pPr>
    </w:p>
    <w:p w14:paraId="73F04174" w14:textId="77777777" w:rsidR="00EA0BAC" w:rsidRDefault="00EA0BAC">
      <w:pPr>
        <w:spacing w:after="252" w:line="259" w:lineRule="auto"/>
        <w:ind w:left="13"/>
        <w:jc w:val="center"/>
      </w:pPr>
    </w:p>
    <w:p w14:paraId="5D0DB333" w14:textId="77777777" w:rsidR="00EA0BAC" w:rsidRDefault="00EA0BAC">
      <w:pPr>
        <w:spacing w:after="252" w:line="259" w:lineRule="auto"/>
        <w:ind w:left="13"/>
        <w:jc w:val="center"/>
      </w:pPr>
    </w:p>
    <w:p w14:paraId="37514B80" w14:textId="77777777" w:rsidR="00EA0BAC" w:rsidRDefault="00EA0BAC">
      <w:pPr>
        <w:spacing w:after="252" w:line="259" w:lineRule="auto"/>
        <w:ind w:left="13"/>
        <w:jc w:val="center"/>
      </w:pPr>
    </w:p>
    <w:p w14:paraId="1EB26B32" w14:textId="77777777" w:rsidR="00EA0BAC" w:rsidRDefault="00EA0BAC">
      <w:pPr>
        <w:spacing w:after="252" w:line="259" w:lineRule="auto"/>
        <w:ind w:left="13"/>
        <w:jc w:val="center"/>
      </w:pPr>
    </w:p>
    <w:p w14:paraId="193DB099" w14:textId="77777777" w:rsidR="00EA0BAC" w:rsidRDefault="00EA0BAC">
      <w:pPr>
        <w:spacing w:after="252" w:line="259" w:lineRule="auto"/>
        <w:ind w:left="13"/>
        <w:jc w:val="center"/>
      </w:pPr>
    </w:p>
    <w:p w14:paraId="6DF7F61A" w14:textId="77777777" w:rsidR="00EA0BAC" w:rsidRDefault="00EA0BAC">
      <w:pPr>
        <w:spacing w:after="252" w:line="259" w:lineRule="auto"/>
        <w:ind w:left="13"/>
        <w:jc w:val="center"/>
      </w:pPr>
    </w:p>
    <w:p w14:paraId="379F72B0" w14:textId="77777777" w:rsidR="00EA0BAC" w:rsidRDefault="00EA0BAC" w:rsidP="00EA0BAC">
      <w:pPr>
        <w:spacing w:after="252" w:line="259" w:lineRule="auto"/>
        <w:ind w:left="0" w:firstLine="0"/>
      </w:pPr>
    </w:p>
    <w:p w14:paraId="1704AD67" w14:textId="201AC167" w:rsidR="15F6EADE" w:rsidRDefault="15F6EADE" w:rsidP="15F6EADE">
      <w:pPr>
        <w:spacing w:after="252" w:line="259" w:lineRule="auto"/>
        <w:ind w:left="0" w:firstLine="0"/>
      </w:pPr>
    </w:p>
    <w:p w14:paraId="33544BAA" w14:textId="74626F50" w:rsidR="15F6EADE" w:rsidRDefault="15F6EADE" w:rsidP="15F6EADE">
      <w:pPr>
        <w:spacing w:after="252" w:line="259" w:lineRule="auto"/>
        <w:ind w:left="0" w:firstLine="0"/>
      </w:pPr>
    </w:p>
    <w:p w14:paraId="7F921FFB" w14:textId="637156AF" w:rsidR="15F6EADE" w:rsidRDefault="15F6EADE" w:rsidP="15F6EADE">
      <w:pPr>
        <w:spacing w:after="252" w:line="259" w:lineRule="auto"/>
        <w:ind w:left="0" w:firstLine="0"/>
      </w:pPr>
    </w:p>
    <w:p w14:paraId="172FCE1A" w14:textId="37CAA952" w:rsidR="15F6EADE" w:rsidRDefault="15F6EADE" w:rsidP="15F6EADE">
      <w:pPr>
        <w:spacing w:after="252" w:line="259" w:lineRule="auto"/>
        <w:ind w:left="0" w:firstLine="0"/>
      </w:pPr>
    </w:p>
    <w:p w14:paraId="35FB51F6" w14:textId="3558E59B" w:rsidR="15F6EADE" w:rsidRDefault="15F6EADE" w:rsidP="15F6EADE">
      <w:pPr>
        <w:spacing w:after="252" w:line="259" w:lineRule="auto"/>
        <w:ind w:left="0" w:firstLine="0"/>
      </w:pPr>
    </w:p>
    <w:p w14:paraId="27B6D035" w14:textId="643A31B5" w:rsidR="15F6EADE" w:rsidRDefault="15F6EADE" w:rsidP="15F6EADE">
      <w:pPr>
        <w:spacing w:after="252" w:line="259" w:lineRule="auto"/>
        <w:ind w:left="0" w:firstLine="0"/>
      </w:pPr>
    </w:p>
    <w:p w14:paraId="72871506" w14:textId="00774278" w:rsidR="15F6EADE" w:rsidRDefault="15F6EADE" w:rsidP="15F6EADE">
      <w:pPr>
        <w:spacing w:after="252" w:line="259" w:lineRule="auto"/>
        <w:ind w:left="0" w:firstLine="0"/>
      </w:pPr>
    </w:p>
    <w:p w14:paraId="4FA8C766" w14:textId="7E7A5F1A" w:rsidR="00D34C81" w:rsidRDefault="00C31AE7">
      <w:pPr>
        <w:spacing w:after="252" w:line="259" w:lineRule="auto"/>
        <w:ind w:left="13"/>
        <w:jc w:val="center"/>
      </w:pPr>
      <w:r>
        <w:t>Bibliography</w:t>
      </w:r>
    </w:p>
    <w:p w14:paraId="18F6735E" w14:textId="77777777" w:rsidR="00D34C81" w:rsidRDefault="00C31AE7">
      <w:pPr>
        <w:spacing w:line="259" w:lineRule="auto"/>
        <w:ind w:left="-5"/>
      </w:pPr>
      <w:r>
        <w:t xml:space="preserve">Brown, Elsa Barkley. “To Catch the Vision of Freedom: Reconstructing Southern Black </w:t>
      </w:r>
    </w:p>
    <w:p w14:paraId="41B4926C" w14:textId="77777777" w:rsidR="00D34C81" w:rsidRDefault="00C31AE7">
      <w:pPr>
        <w:spacing w:line="259" w:lineRule="auto"/>
        <w:ind w:left="730"/>
      </w:pPr>
      <w:r w:rsidRPr="15F6EADE">
        <w:rPr>
          <w:lang w:val="en-US"/>
        </w:rPr>
        <w:t xml:space="preserve">Women’s Political History, 1865-1880.” In </w:t>
      </w:r>
      <w:proofErr w:type="gramStart"/>
      <w:r w:rsidRPr="15F6EADE">
        <w:rPr>
          <w:i/>
          <w:iCs/>
          <w:lang w:val="en-US"/>
        </w:rPr>
        <w:t>African-American</w:t>
      </w:r>
      <w:proofErr w:type="gramEnd"/>
      <w:r w:rsidRPr="15F6EADE">
        <w:rPr>
          <w:i/>
          <w:iCs/>
          <w:lang w:val="en-US"/>
        </w:rPr>
        <w:t xml:space="preserve"> Women and the Vote </w:t>
      </w:r>
    </w:p>
    <w:p w14:paraId="476218B1" w14:textId="77777777" w:rsidR="00D34C81" w:rsidRDefault="00C31AE7">
      <w:pPr>
        <w:spacing w:after="276" w:line="238" w:lineRule="auto"/>
        <w:ind w:left="730"/>
      </w:pPr>
      <w:r>
        <w:rPr>
          <w:i/>
        </w:rPr>
        <w:t xml:space="preserve">1837-1965, </w:t>
      </w:r>
      <w:r>
        <w:t>edited by Ann D. Gordon, Bettye Collier-Thomas, Arlene Avakian, Joyce Berkman, and John Bracey, 66-99. Amherst: University of Massachusetts Press, 1997.</w:t>
      </w:r>
    </w:p>
    <w:p w14:paraId="195A27E1" w14:textId="77777777" w:rsidR="00D34C81" w:rsidRDefault="00C31AE7">
      <w:pPr>
        <w:spacing w:line="238" w:lineRule="auto"/>
        <w:ind w:left="705" w:hanging="720"/>
      </w:pPr>
      <w:r>
        <w:t>Carr, Ervin M. “Alabama Woman Ridicules Idea that Suffrage Amendment Would Give Vote to Negro Women.”</w:t>
      </w:r>
      <w:r>
        <w:rPr>
          <w:i/>
        </w:rPr>
        <w:t xml:space="preserve"> Alabama Equal Suffrage Association </w:t>
      </w:r>
      <w:r>
        <w:t xml:space="preserve">(Birmingham, AL), 1919. </w:t>
      </w:r>
    </w:p>
    <w:p w14:paraId="32B89398" w14:textId="77777777" w:rsidR="00D34C81" w:rsidRDefault="00D34C81">
      <w:pPr>
        <w:spacing w:after="265" w:line="249" w:lineRule="auto"/>
        <w:ind w:left="715"/>
      </w:pPr>
      <w:hyperlink r:id="rId7">
        <w:r>
          <w:rPr>
            <w:u w:val="single" w:color="000000"/>
          </w:rPr>
          <w:t xml:space="preserve">https://davidson.primo.exlibrisgroup.com/permalink/01DCOLL_INST/pven4q/alma9910 </w:t>
        </w:r>
      </w:hyperlink>
      <w:hyperlink r:id="rId8">
        <w:r>
          <w:rPr>
            <w:u w:val="single" w:color="000000"/>
          </w:rPr>
          <w:t>25240548105716</w:t>
        </w:r>
      </w:hyperlink>
      <w:r w:rsidR="00C31AE7">
        <w:t>.</w:t>
      </w:r>
    </w:p>
    <w:p w14:paraId="6E02F22D" w14:textId="77777777" w:rsidR="00D34C81" w:rsidRDefault="00C31AE7">
      <w:pPr>
        <w:spacing w:after="276" w:line="238" w:lineRule="auto"/>
        <w:ind w:left="705" w:hanging="720"/>
      </w:pPr>
      <w:r w:rsidRPr="15F6EADE">
        <w:rPr>
          <w:lang w:val="en-US"/>
        </w:rPr>
        <w:t xml:space="preserve">Coleman, Willi. “Architects of a Vision: Black Women and Their Antebellum Quest for Political and Social Equality.” In </w:t>
      </w:r>
      <w:proofErr w:type="gramStart"/>
      <w:r w:rsidRPr="15F6EADE">
        <w:rPr>
          <w:i/>
          <w:iCs/>
          <w:lang w:val="en-US"/>
        </w:rPr>
        <w:t>African-American</w:t>
      </w:r>
      <w:proofErr w:type="gramEnd"/>
      <w:r w:rsidRPr="15F6EADE">
        <w:rPr>
          <w:i/>
          <w:iCs/>
          <w:lang w:val="en-US"/>
        </w:rPr>
        <w:t xml:space="preserve"> Women and the Vote 1837-1965, </w:t>
      </w:r>
      <w:r w:rsidRPr="15F6EADE">
        <w:rPr>
          <w:lang w:val="en-US"/>
        </w:rPr>
        <w:t xml:space="preserve">edited by Ann D. Gordon, Bettye Collier-Thomas, Arlene Avakian, Joyce Berkman, and John Bracey, 24-40. Amherst: University of Massachusetts Press, 1997. </w:t>
      </w:r>
    </w:p>
    <w:p w14:paraId="02119EE3" w14:textId="77777777" w:rsidR="00D34C81" w:rsidRDefault="00C31AE7">
      <w:pPr>
        <w:spacing w:after="276" w:line="238" w:lineRule="auto"/>
        <w:ind w:left="705" w:hanging="720"/>
      </w:pPr>
      <w:r w:rsidRPr="15F6EADE">
        <w:rPr>
          <w:lang w:val="en-US"/>
        </w:rPr>
        <w:t xml:space="preserve">Collier-Thomas, Bettye. “Frances Ellen Watkins Harper Abolitionist and Feminist Reformer 1825-1911.” In </w:t>
      </w:r>
      <w:proofErr w:type="gramStart"/>
      <w:r w:rsidRPr="15F6EADE">
        <w:rPr>
          <w:i/>
          <w:iCs/>
          <w:lang w:val="en-US"/>
        </w:rPr>
        <w:t>African-American</w:t>
      </w:r>
      <w:proofErr w:type="gramEnd"/>
      <w:r w:rsidRPr="15F6EADE">
        <w:rPr>
          <w:i/>
          <w:iCs/>
          <w:lang w:val="en-US"/>
        </w:rPr>
        <w:t xml:space="preserve"> Women and the Vote 1837-1965, </w:t>
      </w:r>
      <w:r w:rsidRPr="15F6EADE">
        <w:rPr>
          <w:lang w:val="en-US"/>
        </w:rPr>
        <w:t>edited by Ann D. Gordon, Bettye Collier-Thomas, Arlene Avakian, Joyce Berkman, and John Bracey, 41-65. Amherst: University of Massachusetts Press, 1997.</w:t>
      </w:r>
    </w:p>
    <w:p w14:paraId="79092B93" w14:textId="77777777" w:rsidR="00D34C81" w:rsidRDefault="00C31AE7">
      <w:pPr>
        <w:spacing w:line="259" w:lineRule="auto"/>
        <w:ind w:left="-5"/>
      </w:pPr>
      <w:r>
        <w:lastRenderedPageBreak/>
        <w:t xml:space="preserve">“Declaration of Sentiments.” National Park Service. Accessed December 10, 2024. </w:t>
      </w:r>
    </w:p>
    <w:p w14:paraId="6FD9A0AF" w14:textId="77777777" w:rsidR="00D34C81" w:rsidRDefault="00D34C81">
      <w:pPr>
        <w:spacing w:after="304" w:line="249" w:lineRule="auto"/>
        <w:ind w:left="715"/>
      </w:pPr>
      <w:hyperlink r:id="rId9">
        <w:r>
          <w:rPr>
            <w:u w:val="single" w:color="000000"/>
          </w:rPr>
          <w:t>https://www.nps.gov/wori/learn/historyculture/declaration-of-sentiments.htm</w:t>
        </w:r>
      </w:hyperlink>
      <w:r w:rsidR="00C31AE7">
        <w:t>.</w:t>
      </w:r>
    </w:p>
    <w:p w14:paraId="0AF65B21" w14:textId="77777777" w:rsidR="00D34C81" w:rsidRDefault="00C31AE7">
      <w:pPr>
        <w:spacing w:after="291" w:line="238" w:lineRule="auto"/>
        <w:ind w:left="705" w:hanging="720"/>
      </w:pPr>
      <w:r>
        <w:t xml:space="preserve">“Let the Women Vote: And Disfranchisement the Illiterate Negro, Says Lucy Stone’s Husband. He Has a New Scheme to Offer: Says He Has Studied ‘the Southern Question,’ and That is the Only Solution of the Subject.” </w:t>
      </w:r>
      <w:r>
        <w:rPr>
          <w:i/>
        </w:rPr>
        <w:t>Atlanta Journal Constitution</w:t>
      </w:r>
      <w:r>
        <w:t xml:space="preserve"> (Atlanta, GA), Feb. 4, 1895. </w:t>
      </w:r>
      <w:hyperlink r:id="rId10">
        <w:r w:rsidR="00D34C81">
          <w:rPr>
            <w:u w:val="single" w:color="000000"/>
          </w:rPr>
          <w:t xml:space="preserve">https://login.proxy048.nclive.org/login?url=https://www.proquest.com/historical-newspa </w:t>
        </w:r>
      </w:hyperlink>
      <w:hyperlink r:id="rId11">
        <w:r w:rsidR="00D34C81">
          <w:rPr>
            <w:u w:val="single" w:color="000000"/>
          </w:rPr>
          <w:t>pers/let-women-vote/</w:t>
        </w:r>
        <w:proofErr w:type="spellStart"/>
        <w:r w:rsidR="00D34C81">
          <w:rPr>
            <w:u w:val="single" w:color="000000"/>
          </w:rPr>
          <w:t>docview</w:t>
        </w:r>
        <w:proofErr w:type="spellEnd"/>
        <w:r w:rsidR="00D34C81">
          <w:rPr>
            <w:u w:val="single" w:color="000000"/>
          </w:rPr>
          <w:t>/495263144/se-2?accountid=10427</w:t>
        </w:r>
      </w:hyperlink>
      <w:r>
        <w:t>.</w:t>
      </w:r>
    </w:p>
    <w:p w14:paraId="2812B6B7" w14:textId="77777777" w:rsidR="00D34C81" w:rsidRDefault="00C31AE7">
      <w:pPr>
        <w:spacing w:line="259" w:lineRule="auto"/>
        <w:ind w:left="-5"/>
      </w:pPr>
      <w:proofErr w:type="spellStart"/>
      <w:r>
        <w:t>Michals</w:t>
      </w:r>
      <w:proofErr w:type="spellEnd"/>
      <w:r>
        <w:t xml:space="preserve">, Debra. “Sojourner Truth.” National Women’s History Museum, 2015. </w:t>
      </w:r>
    </w:p>
    <w:p w14:paraId="70F84705" w14:textId="77777777" w:rsidR="00D34C81" w:rsidRDefault="00D34C81">
      <w:pPr>
        <w:spacing w:after="304" w:line="249" w:lineRule="auto"/>
        <w:ind w:left="715"/>
      </w:pPr>
      <w:hyperlink r:id="rId12">
        <w:r>
          <w:rPr>
            <w:u w:val="single" w:color="000000"/>
          </w:rPr>
          <w:t>https://www.womenshistory.org/education-resources/biographies/sojourner-truth</w:t>
        </w:r>
      </w:hyperlink>
      <w:r w:rsidR="00C31AE7">
        <w:t>.</w:t>
      </w:r>
    </w:p>
    <w:p w14:paraId="7FC98206" w14:textId="77777777" w:rsidR="00D34C81" w:rsidRDefault="00C31AE7">
      <w:pPr>
        <w:spacing w:after="265" w:line="249" w:lineRule="auto"/>
        <w:ind w:left="720" w:hanging="720"/>
      </w:pPr>
      <w:r>
        <w:t xml:space="preserve">“Miss Anthony and Negroes: Drawing of the Color Line by Women’s a Mistake, She Says.” </w:t>
      </w:r>
      <w:r>
        <w:rPr>
          <w:i/>
        </w:rPr>
        <w:t>New York Times</w:t>
      </w:r>
      <w:r>
        <w:t xml:space="preserve"> (New York, NY), Jun. 25, 1900. </w:t>
      </w:r>
      <w:hyperlink r:id="rId13">
        <w:r w:rsidR="00D34C81">
          <w:rPr>
            <w:u w:val="single" w:color="000000"/>
          </w:rPr>
          <w:t xml:space="preserve">https://login.proxy048.nclive.org/login?url=https://www.proquest.com/historical-newspa </w:t>
        </w:r>
      </w:hyperlink>
      <w:hyperlink r:id="rId14">
        <w:r w:rsidR="00D34C81">
          <w:rPr>
            <w:u w:val="single" w:color="000000"/>
          </w:rPr>
          <w:t>pers/miss-</w:t>
        </w:r>
        <w:proofErr w:type="spellStart"/>
        <w:r w:rsidR="00D34C81">
          <w:rPr>
            <w:u w:val="single" w:color="000000"/>
          </w:rPr>
          <w:t>anthony</w:t>
        </w:r>
        <w:proofErr w:type="spellEnd"/>
        <w:r w:rsidR="00D34C81">
          <w:rPr>
            <w:u w:val="single" w:color="000000"/>
          </w:rPr>
          <w:t>-negroes/</w:t>
        </w:r>
        <w:proofErr w:type="spellStart"/>
        <w:r w:rsidR="00D34C81">
          <w:rPr>
            <w:u w:val="single" w:color="000000"/>
          </w:rPr>
          <w:t>docview</w:t>
        </w:r>
        <w:proofErr w:type="spellEnd"/>
        <w:r w:rsidR="00D34C81">
          <w:rPr>
            <w:u w:val="single" w:color="000000"/>
          </w:rPr>
          <w:t>/95974766/se-2?accountid=10427</w:t>
        </w:r>
      </w:hyperlink>
      <w:r>
        <w:t>.</w:t>
      </w:r>
    </w:p>
    <w:p w14:paraId="708E2014" w14:textId="77777777" w:rsidR="00D34C81" w:rsidRDefault="00C31AE7">
      <w:pPr>
        <w:spacing w:after="276" w:line="238" w:lineRule="auto"/>
        <w:ind w:left="705" w:hanging="720"/>
      </w:pPr>
      <w:r>
        <w:t xml:space="preserve">“Negro Conference Adjourns: Letter is Read from Susan B. Anthony on Woman Suffrage.” </w:t>
      </w:r>
      <w:r>
        <w:rPr>
          <w:i/>
        </w:rPr>
        <w:t xml:space="preserve">Atlanta Journal Constitution </w:t>
      </w:r>
      <w:r>
        <w:t xml:space="preserve">(Atlanta, GA), Jul. 28, 1900. </w:t>
      </w:r>
    </w:p>
    <w:p w14:paraId="1771A1DE" w14:textId="77777777" w:rsidR="00D34C81" w:rsidRDefault="00C31AE7">
      <w:pPr>
        <w:spacing w:line="259" w:lineRule="auto"/>
        <w:ind w:left="-5"/>
      </w:pPr>
      <w:proofErr w:type="spellStart"/>
      <w:r w:rsidRPr="15F6EADE">
        <w:rPr>
          <w:lang w:val="en-US"/>
        </w:rPr>
        <w:t>Neverdon</w:t>
      </w:r>
      <w:proofErr w:type="spellEnd"/>
      <w:r w:rsidRPr="15F6EADE">
        <w:rPr>
          <w:lang w:val="en-US"/>
        </w:rPr>
        <w:t xml:space="preserve">-Morton, Cynthia. “Advancement of the Race through African American Women’s </w:t>
      </w:r>
    </w:p>
    <w:p w14:paraId="7D5B8C33" w14:textId="77777777" w:rsidR="00D34C81" w:rsidRDefault="00C31AE7">
      <w:pPr>
        <w:spacing w:line="259" w:lineRule="auto"/>
        <w:ind w:left="730"/>
      </w:pPr>
      <w:r w:rsidRPr="15F6EADE">
        <w:rPr>
          <w:lang w:val="en-US"/>
        </w:rPr>
        <w:t xml:space="preserve">Organizations in the South, 1895-1925.” In </w:t>
      </w:r>
      <w:proofErr w:type="gramStart"/>
      <w:r w:rsidRPr="15F6EADE">
        <w:rPr>
          <w:i/>
          <w:iCs/>
          <w:lang w:val="en-US"/>
        </w:rPr>
        <w:t>African-American</w:t>
      </w:r>
      <w:proofErr w:type="gramEnd"/>
      <w:r w:rsidRPr="15F6EADE">
        <w:rPr>
          <w:i/>
          <w:iCs/>
          <w:lang w:val="en-US"/>
        </w:rPr>
        <w:t xml:space="preserve"> Women and the Vote </w:t>
      </w:r>
    </w:p>
    <w:p w14:paraId="3C1E7677" w14:textId="77777777" w:rsidR="00D34C81" w:rsidRDefault="00C31AE7">
      <w:pPr>
        <w:spacing w:line="259" w:lineRule="auto"/>
        <w:ind w:left="730"/>
      </w:pPr>
      <w:r>
        <w:rPr>
          <w:i/>
        </w:rPr>
        <w:t xml:space="preserve">1837-1965, </w:t>
      </w:r>
      <w:r>
        <w:t xml:space="preserve">edited by Ann D. Gordon, Bettye Collier-Thomas, Arlene Avakian, Joyce </w:t>
      </w:r>
    </w:p>
    <w:p w14:paraId="77B38952" w14:textId="77777777" w:rsidR="00D34C81" w:rsidRDefault="00C31AE7">
      <w:pPr>
        <w:spacing w:after="252" w:line="259" w:lineRule="auto"/>
        <w:ind w:left="730"/>
      </w:pPr>
      <w:r>
        <w:t>Berkman, and John Bracey, 120-133. Amherst: University of Massachusetts Press, 1997.</w:t>
      </w:r>
    </w:p>
    <w:p w14:paraId="3DA803AD" w14:textId="77777777" w:rsidR="00D34C81" w:rsidRDefault="00C31AE7">
      <w:pPr>
        <w:spacing w:after="317" w:line="274" w:lineRule="auto"/>
        <w:ind w:left="705" w:hanging="720"/>
      </w:pPr>
      <w:r>
        <w:t xml:space="preserve">Osborn, Elizabeth. “The Seneca Falls Convention: Teaching About the Rights of Women and the Heritage of the Declaration of Independence.” ERIC Digest, June 2001. </w:t>
      </w:r>
      <w:hyperlink r:id="rId15">
        <w:r w:rsidR="00D34C81">
          <w:rPr>
            <w:u w:val="single" w:color="000000"/>
          </w:rPr>
          <w:t>https://eric.ed.gov/?id=ED453151</w:t>
        </w:r>
      </w:hyperlink>
      <w:r>
        <w:t>.</w:t>
      </w:r>
    </w:p>
    <w:p w14:paraId="71A1EB79" w14:textId="77777777" w:rsidR="00D34C81" w:rsidRDefault="00C31AE7">
      <w:pPr>
        <w:spacing w:line="259" w:lineRule="auto"/>
        <w:ind w:left="-5"/>
      </w:pPr>
      <w:r w:rsidRPr="15F6EADE">
        <w:rPr>
          <w:lang w:val="en-US"/>
        </w:rPr>
        <w:t xml:space="preserve">“Our </w:t>
      </w:r>
      <w:proofErr w:type="gramStart"/>
      <w:r w:rsidRPr="15F6EADE">
        <w:rPr>
          <w:lang w:val="en-US"/>
        </w:rPr>
        <w:t>History</w:t>
      </w:r>
      <w:proofErr w:type="gramEnd"/>
      <w:r w:rsidRPr="15F6EADE">
        <w:rPr>
          <w:lang w:val="en-US"/>
        </w:rPr>
        <w:t xml:space="preserve">.” NAACP. Accessed December 10, 2024. </w:t>
      </w:r>
    </w:p>
    <w:p w14:paraId="6BD362D0" w14:textId="77777777" w:rsidR="00D34C81" w:rsidRDefault="00D34C81">
      <w:pPr>
        <w:spacing w:after="343" w:line="249" w:lineRule="auto"/>
        <w:ind w:left="715"/>
      </w:pPr>
      <w:hyperlink r:id="rId16" w:anchor=":~:text=Among%20the%20Association%27s%20top%20priorities,an%20end%20to%20the%20violence">
        <w:r>
          <w:rPr>
            <w:u w:val="single" w:color="000000"/>
          </w:rPr>
          <w:t xml:space="preserve">https://naacp.org/about/our-history#:~:text=Among%20the%20Association%27s%20top </w:t>
        </w:r>
      </w:hyperlink>
      <w:hyperlink r:id="rId17" w:anchor=":~:text=Among%20the%20Association%27s%20top%20priorities,an%20end%20to%20the%20violence">
        <w:r>
          <w:rPr>
            <w:u w:val="single" w:color="000000"/>
          </w:rPr>
          <w:t>%20priorities,an%20end%20to%20the%20violence</w:t>
        </w:r>
      </w:hyperlink>
      <w:r w:rsidR="00C31AE7">
        <w:t>.</w:t>
      </w:r>
    </w:p>
    <w:p w14:paraId="2782A7F2" w14:textId="77777777" w:rsidR="00D34C81" w:rsidRDefault="00C31AE7">
      <w:pPr>
        <w:spacing w:line="274" w:lineRule="auto"/>
        <w:ind w:left="705" w:hanging="720"/>
      </w:pPr>
      <w:r>
        <w:t xml:space="preserve"> “Smith, Amanda [Berry] (1837-1915).” Boston University: School of Theology. Accessed December 10, 2024. </w:t>
      </w:r>
    </w:p>
    <w:p w14:paraId="5A71B56C" w14:textId="77777777" w:rsidR="00D34C81" w:rsidRDefault="00D34C81">
      <w:pPr>
        <w:spacing w:after="28" w:line="249" w:lineRule="auto"/>
        <w:ind w:left="715"/>
      </w:pPr>
      <w:hyperlink r:id="rId18">
        <w:r>
          <w:rPr>
            <w:u w:val="single" w:color="000000"/>
          </w:rPr>
          <w:t>https://www.bu.edu/missiology/missionary-biography/r-s/smith-amanda-berry-1837-1915</w:t>
        </w:r>
      </w:hyperlink>
    </w:p>
    <w:p w14:paraId="5749C726" w14:textId="77777777" w:rsidR="00D34C81" w:rsidRDefault="00D34C81">
      <w:pPr>
        <w:spacing w:after="293" w:line="259" w:lineRule="auto"/>
        <w:ind w:left="730"/>
      </w:pPr>
      <w:hyperlink r:id="rId19">
        <w:r>
          <w:rPr>
            <w:u w:val="single" w:color="000000"/>
          </w:rPr>
          <w:t>/</w:t>
        </w:r>
      </w:hyperlink>
      <w:r w:rsidR="00C31AE7">
        <w:t>.</w:t>
      </w:r>
    </w:p>
    <w:p w14:paraId="4469F19E" w14:textId="77777777" w:rsidR="00D34C81" w:rsidRDefault="00C31AE7">
      <w:pPr>
        <w:spacing w:line="238" w:lineRule="auto"/>
        <w:ind w:left="705" w:hanging="720"/>
      </w:pPr>
      <w:r>
        <w:t xml:space="preserve">“Suffrage for Women: Miss Anthony Tells of Progress of the Movement. Seek to Win Western States: Four Already Have Woman’s Suffrage and It Is Hoped Soon to Win Iowa – No </w:t>
      </w:r>
    </w:p>
    <w:p w14:paraId="2F671B0F" w14:textId="77777777" w:rsidR="00D34C81" w:rsidRDefault="00C31AE7">
      <w:pPr>
        <w:spacing w:after="276" w:line="238" w:lineRule="auto"/>
        <w:ind w:left="730"/>
      </w:pPr>
      <w:r>
        <w:t xml:space="preserve">Chance in Manufacturing States – In the South Prospect of Negro Women Voting is an Obstacle – Convention of Woman Suffragists Begins Next Week.” </w:t>
      </w:r>
      <w:r>
        <w:rPr>
          <w:i/>
        </w:rPr>
        <w:t xml:space="preserve">Washington Post </w:t>
      </w:r>
      <w:r>
        <w:lastRenderedPageBreak/>
        <w:t xml:space="preserve">(Washington D.C.), Feb. 1, 1900. </w:t>
      </w:r>
      <w:hyperlink r:id="rId20">
        <w:r w:rsidR="00D34C81">
          <w:rPr>
            <w:u w:val="single" w:color="000000"/>
          </w:rPr>
          <w:t xml:space="preserve">https://login.proxy048.nclive.org/login?url=https://www.proquest.com/historical-newspa </w:t>
        </w:r>
      </w:hyperlink>
      <w:hyperlink r:id="rId21">
        <w:r w:rsidR="00D34C81">
          <w:rPr>
            <w:u w:val="single" w:color="000000"/>
          </w:rPr>
          <w:t>pers/suffrage-women/</w:t>
        </w:r>
        <w:proofErr w:type="spellStart"/>
        <w:r w:rsidR="00D34C81">
          <w:rPr>
            <w:u w:val="single" w:color="000000"/>
          </w:rPr>
          <w:t>docview</w:t>
        </w:r>
        <w:proofErr w:type="spellEnd"/>
        <w:r w:rsidR="00D34C81">
          <w:rPr>
            <w:u w:val="single" w:color="000000"/>
          </w:rPr>
          <w:t>/144198986/se-2?accountid=10427</w:t>
        </w:r>
      </w:hyperlink>
      <w:r>
        <w:t>.</w:t>
      </w:r>
    </w:p>
    <w:p w14:paraId="2185CE11" w14:textId="77777777" w:rsidR="00D34C81" w:rsidRDefault="00C31AE7">
      <w:pPr>
        <w:spacing w:line="274" w:lineRule="auto"/>
        <w:ind w:left="705" w:hanging="720"/>
      </w:pPr>
      <w:r w:rsidRPr="15F6EADE">
        <w:rPr>
          <w:lang w:val="en-US"/>
        </w:rPr>
        <w:t>Truth, Sojourner. “</w:t>
      </w:r>
      <w:proofErr w:type="spellStart"/>
      <w:r w:rsidRPr="15F6EADE">
        <w:rPr>
          <w:lang w:val="en-US"/>
        </w:rPr>
        <w:t>Ain’t</w:t>
      </w:r>
      <w:proofErr w:type="spellEnd"/>
      <w:r w:rsidRPr="15F6EADE">
        <w:rPr>
          <w:lang w:val="en-US"/>
        </w:rPr>
        <w:t xml:space="preserve"> I </w:t>
      </w:r>
      <w:proofErr w:type="gramStart"/>
      <w:r w:rsidRPr="15F6EADE">
        <w:rPr>
          <w:lang w:val="en-US"/>
        </w:rPr>
        <w:t>a</w:t>
      </w:r>
      <w:proofErr w:type="gramEnd"/>
      <w:r w:rsidRPr="15F6EADE">
        <w:rPr>
          <w:lang w:val="en-US"/>
        </w:rPr>
        <w:t xml:space="preserve"> Woman?” Speech Given at Ohio Women’s Rights Convention, Akron, OH, May 1851. </w:t>
      </w:r>
    </w:p>
    <w:sectPr w:rsidR="00D34C81">
      <w:headerReference w:type="even" r:id="rId22"/>
      <w:headerReference w:type="default" r:id="rId23"/>
      <w:footerReference w:type="even" r:id="rId24"/>
      <w:footerReference w:type="default" r:id="rId25"/>
      <w:headerReference w:type="first" r:id="rId26"/>
      <w:footerReference w:type="first" r:id="rId27"/>
      <w:pgSz w:w="12240" w:h="15840"/>
      <w:pgMar w:top="1497" w:right="1443" w:bottom="1440" w:left="1440" w:header="766"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759241" w14:textId="77777777" w:rsidR="00246238" w:rsidRDefault="00246238">
      <w:pPr>
        <w:spacing w:after="0" w:line="240" w:lineRule="auto"/>
      </w:pPr>
      <w:r>
        <w:separator/>
      </w:r>
    </w:p>
  </w:endnote>
  <w:endnote w:type="continuationSeparator" w:id="0">
    <w:p w14:paraId="0C2FA15F" w14:textId="77777777" w:rsidR="00246238" w:rsidRDefault="00246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15"/>
      <w:gridCol w:w="3115"/>
      <w:gridCol w:w="3115"/>
    </w:tblGrid>
    <w:tr w:rsidR="15F6EADE" w14:paraId="0D5046AE" w14:textId="77777777" w:rsidTr="15F6EADE">
      <w:trPr>
        <w:trHeight w:val="300"/>
      </w:trPr>
      <w:tc>
        <w:tcPr>
          <w:tcW w:w="3115" w:type="dxa"/>
        </w:tcPr>
        <w:p w14:paraId="518B5A2C" w14:textId="157E7094" w:rsidR="15F6EADE" w:rsidRDefault="15F6EADE" w:rsidP="15F6EADE">
          <w:pPr>
            <w:pStyle w:val="Header"/>
            <w:ind w:left="-115"/>
          </w:pPr>
        </w:p>
      </w:tc>
      <w:tc>
        <w:tcPr>
          <w:tcW w:w="3115" w:type="dxa"/>
        </w:tcPr>
        <w:p w14:paraId="1E997CAD" w14:textId="5A0F1E34" w:rsidR="15F6EADE" w:rsidRDefault="15F6EADE" w:rsidP="15F6EADE">
          <w:pPr>
            <w:pStyle w:val="Header"/>
            <w:jc w:val="center"/>
          </w:pPr>
        </w:p>
      </w:tc>
      <w:tc>
        <w:tcPr>
          <w:tcW w:w="3115" w:type="dxa"/>
        </w:tcPr>
        <w:p w14:paraId="69A1D079" w14:textId="191D37FF" w:rsidR="15F6EADE" w:rsidRDefault="15F6EADE" w:rsidP="15F6EADE">
          <w:pPr>
            <w:pStyle w:val="Header"/>
            <w:ind w:right="-115"/>
            <w:jc w:val="right"/>
          </w:pPr>
        </w:p>
      </w:tc>
    </w:tr>
  </w:tbl>
  <w:p w14:paraId="5BE803C5" w14:textId="1E67B0CC" w:rsidR="15F6EADE" w:rsidRDefault="15F6EADE" w:rsidP="15F6EA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15"/>
      <w:gridCol w:w="3115"/>
      <w:gridCol w:w="3115"/>
    </w:tblGrid>
    <w:tr w:rsidR="15F6EADE" w14:paraId="510E8803" w14:textId="77777777" w:rsidTr="15F6EADE">
      <w:trPr>
        <w:trHeight w:val="300"/>
      </w:trPr>
      <w:tc>
        <w:tcPr>
          <w:tcW w:w="3115" w:type="dxa"/>
        </w:tcPr>
        <w:p w14:paraId="2AAB3419" w14:textId="15CC8ADD" w:rsidR="15F6EADE" w:rsidRDefault="15F6EADE" w:rsidP="15F6EADE">
          <w:pPr>
            <w:pStyle w:val="Header"/>
            <w:ind w:left="-115"/>
          </w:pPr>
        </w:p>
      </w:tc>
      <w:tc>
        <w:tcPr>
          <w:tcW w:w="3115" w:type="dxa"/>
        </w:tcPr>
        <w:p w14:paraId="3C896D29" w14:textId="477CC98E" w:rsidR="15F6EADE" w:rsidRDefault="15F6EADE" w:rsidP="15F6EADE">
          <w:pPr>
            <w:pStyle w:val="Header"/>
            <w:jc w:val="center"/>
          </w:pPr>
        </w:p>
      </w:tc>
      <w:tc>
        <w:tcPr>
          <w:tcW w:w="3115" w:type="dxa"/>
        </w:tcPr>
        <w:p w14:paraId="406CD7E9" w14:textId="30126F08" w:rsidR="15F6EADE" w:rsidRDefault="15F6EADE" w:rsidP="15F6EADE">
          <w:pPr>
            <w:pStyle w:val="Header"/>
            <w:ind w:right="-115"/>
            <w:jc w:val="right"/>
          </w:pPr>
        </w:p>
      </w:tc>
    </w:tr>
  </w:tbl>
  <w:p w14:paraId="12135EF2" w14:textId="221BF5D6" w:rsidR="15F6EADE" w:rsidRDefault="15F6EADE" w:rsidP="15F6EA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15"/>
      <w:gridCol w:w="3115"/>
      <w:gridCol w:w="3115"/>
    </w:tblGrid>
    <w:tr w:rsidR="15F6EADE" w14:paraId="08B79B55" w14:textId="77777777" w:rsidTr="15F6EADE">
      <w:trPr>
        <w:trHeight w:val="300"/>
      </w:trPr>
      <w:tc>
        <w:tcPr>
          <w:tcW w:w="3115" w:type="dxa"/>
        </w:tcPr>
        <w:p w14:paraId="5C9EC4A9" w14:textId="2718F6E7" w:rsidR="15F6EADE" w:rsidRDefault="15F6EADE" w:rsidP="15F6EADE">
          <w:pPr>
            <w:pStyle w:val="Header"/>
            <w:ind w:left="-115"/>
          </w:pPr>
        </w:p>
      </w:tc>
      <w:tc>
        <w:tcPr>
          <w:tcW w:w="3115" w:type="dxa"/>
        </w:tcPr>
        <w:p w14:paraId="5C1152B9" w14:textId="531F9F51" w:rsidR="15F6EADE" w:rsidRDefault="15F6EADE" w:rsidP="15F6EADE">
          <w:pPr>
            <w:pStyle w:val="Header"/>
            <w:jc w:val="center"/>
          </w:pPr>
        </w:p>
      </w:tc>
      <w:tc>
        <w:tcPr>
          <w:tcW w:w="3115" w:type="dxa"/>
        </w:tcPr>
        <w:p w14:paraId="5DC4C354" w14:textId="2CB57BAB" w:rsidR="15F6EADE" w:rsidRDefault="15F6EADE" w:rsidP="15F6EADE">
          <w:pPr>
            <w:pStyle w:val="Header"/>
            <w:ind w:right="-115"/>
            <w:jc w:val="right"/>
          </w:pPr>
        </w:p>
      </w:tc>
    </w:tr>
  </w:tbl>
  <w:p w14:paraId="2F3FBF7C" w14:textId="1115E301" w:rsidR="15F6EADE" w:rsidRDefault="15F6EADE" w:rsidP="15F6E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B0260A" w14:textId="77777777" w:rsidR="00246238" w:rsidRDefault="00246238">
      <w:pPr>
        <w:spacing w:after="0" w:line="240" w:lineRule="auto"/>
        <w:ind w:left="0" w:firstLine="0"/>
      </w:pPr>
      <w:r>
        <w:separator/>
      </w:r>
    </w:p>
  </w:footnote>
  <w:footnote w:type="continuationSeparator" w:id="0">
    <w:p w14:paraId="784E6E76" w14:textId="77777777" w:rsidR="00246238" w:rsidRDefault="00246238">
      <w:pPr>
        <w:spacing w:after="0" w:line="240" w:lineRule="auto"/>
        <w:ind w:left="0" w:firstLine="0"/>
      </w:pPr>
      <w:r>
        <w:continuationSeparator/>
      </w:r>
    </w:p>
  </w:footnote>
  <w:footnote w:id="1">
    <w:p w14:paraId="0008ACC2" w14:textId="77777777" w:rsidR="00D34C81" w:rsidRPr="00E66EFE" w:rsidRDefault="00C31AE7">
      <w:pPr>
        <w:pStyle w:val="footnotedescription"/>
        <w:spacing w:line="240" w:lineRule="auto"/>
        <w:rPr>
          <w:szCs w:val="20"/>
        </w:rPr>
      </w:pPr>
      <w:r w:rsidRPr="00E66EFE">
        <w:rPr>
          <w:rStyle w:val="footnotemark"/>
          <w:sz w:val="20"/>
          <w:szCs w:val="20"/>
        </w:rPr>
        <w:footnoteRef/>
      </w:r>
      <w:r w:rsidRPr="00E66EFE">
        <w:rPr>
          <w:szCs w:val="20"/>
        </w:rPr>
        <w:t xml:space="preserve"> Willi Coleman, “Architects of a Vision: Black Women and Their Antebellum Quest for </w:t>
      </w:r>
      <w:proofErr w:type="spellStart"/>
      <w:r w:rsidRPr="00E66EFE">
        <w:rPr>
          <w:szCs w:val="20"/>
        </w:rPr>
        <w:t>Poltical</w:t>
      </w:r>
      <w:proofErr w:type="spellEnd"/>
      <w:r w:rsidRPr="00E66EFE">
        <w:rPr>
          <w:szCs w:val="20"/>
        </w:rPr>
        <w:t xml:space="preserve"> and Social Equality,” in </w:t>
      </w:r>
      <w:proofErr w:type="gramStart"/>
      <w:r w:rsidRPr="00E66EFE">
        <w:rPr>
          <w:i/>
          <w:szCs w:val="20"/>
        </w:rPr>
        <w:t>African-American</w:t>
      </w:r>
      <w:proofErr w:type="gramEnd"/>
      <w:r w:rsidRPr="00E66EFE">
        <w:rPr>
          <w:i/>
          <w:szCs w:val="20"/>
        </w:rPr>
        <w:t xml:space="preserve"> Women and the Vote 1837-1965, </w:t>
      </w:r>
      <w:r w:rsidRPr="00E66EFE">
        <w:rPr>
          <w:szCs w:val="20"/>
        </w:rPr>
        <w:t xml:space="preserve">ed. Ann D. Gordon et al. (Amherst: University of Massachusetts Press, 1997), 24-40. </w:t>
      </w:r>
    </w:p>
  </w:footnote>
  <w:footnote w:id="2">
    <w:p w14:paraId="67D8404D" w14:textId="77777777" w:rsidR="00D34C81" w:rsidRDefault="00C31AE7">
      <w:pPr>
        <w:pStyle w:val="footnotedescription"/>
        <w:spacing w:after="16" w:line="259" w:lineRule="auto"/>
      </w:pPr>
      <w:r>
        <w:rPr>
          <w:rStyle w:val="footnotemark"/>
        </w:rPr>
        <w:footnoteRef/>
      </w:r>
      <w:r>
        <w:t xml:space="preserve"> </w:t>
      </w:r>
      <w:r w:rsidRPr="0001576E">
        <w:rPr>
          <w:i/>
          <w:iCs/>
        </w:rPr>
        <w:t>Ibid</w:t>
      </w:r>
      <w:r>
        <w:t>.</w:t>
      </w:r>
    </w:p>
  </w:footnote>
  <w:footnote w:id="3">
    <w:p w14:paraId="6E27C228" w14:textId="77777777" w:rsidR="00D34C81" w:rsidRDefault="00C31AE7">
      <w:pPr>
        <w:pStyle w:val="footnotedescription"/>
        <w:spacing w:line="259" w:lineRule="auto"/>
      </w:pPr>
      <w:r>
        <w:rPr>
          <w:rStyle w:val="footnotemark"/>
        </w:rPr>
        <w:footnoteRef/>
      </w:r>
      <w:r>
        <w:t xml:space="preserve"> </w:t>
      </w:r>
      <w:r w:rsidRPr="0001576E">
        <w:rPr>
          <w:i/>
          <w:iCs/>
        </w:rPr>
        <w:t>Ibid</w:t>
      </w:r>
      <w:r>
        <w:t xml:space="preserve">. </w:t>
      </w:r>
    </w:p>
  </w:footnote>
  <w:footnote w:id="4">
    <w:p w14:paraId="727A94AB" w14:textId="35959991" w:rsidR="00E66EFE" w:rsidRPr="00E66EFE" w:rsidRDefault="00E66EFE" w:rsidP="00E66EFE">
      <w:pPr>
        <w:pStyle w:val="p1"/>
        <w:rPr>
          <w:sz w:val="20"/>
          <w:szCs w:val="20"/>
        </w:rPr>
      </w:pPr>
      <w:r w:rsidRPr="00E66EFE">
        <w:rPr>
          <w:rStyle w:val="FootnoteReference"/>
          <w:sz w:val="20"/>
          <w:szCs w:val="20"/>
        </w:rPr>
        <w:footnoteRef/>
      </w:r>
      <w:r w:rsidRPr="00E66EFE">
        <w:rPr>
          <w:sz w:val="20"/>
          <w:szCs w:val="20"/>
        </w:rPr>
        <w:t xml:space="preserve"> Willi Coleman,</w:t>
      </w:r>
      <w:r>
        <w:rPr>
          <w:sz w:val="20"/>
          <w:szCs w:val="20"/>
        </w:rPr>
        <w:t xml:space="preserve"> </w:t>
      </w:r>
      <w:r w:rsidRPr="00E66EFE">
        <w:rPr>
          <w:sz w:val="20"/>
          <w:szCs w:val="20"/>
        </w:rPr>
        <w:t>“Architects of a Vision: Black Women and Their Antebellum Quest for Political and Social</w:t>
      </w:r>
    </w:p>
    <w:p w14:paraId="7F9D6A54" w14:textId="473127F1" w:rsidR="00E66EFE" w:rsidRPr="00E66EFE" w:rsidRDefault="00E66EFE" w:rsidP="00E66EFE">
      <w:pPr>
        <w:pStyle w:val="p1"/>
        <w:rPr>
          <w:sz w:val="20"/>
          <w:szCs w:val="20"/>
        </w:rPr>
      </w:pPr>
      <w:r w:rsidRPr="00E66EFE">
        <w:rPr>
          <w:sz w:val="20"/>
          <w:szCs w:val="20"/>
        </w:rPr>
        <w:t xml:space="preserve">Equality,” in </w:t>
      </w:r>
      <w:proofErr w:type="gramStart"/>
      <w:r w:rsidRPr="00E66EFE">
        <w:rPr>
          <w:i/>
          <w:iCs/>
          <w:sz w:val="20"/>
          <w:szCs w:val="20"/>
        </w:rPr>
        <w:t>African-American</w:t>
      </w:r>
      <w:proofErr w:type="gramEnd"/>
      <w:r w:rsidRPr="00E66EFE">
        <w:rPr>
          <w:i/>
          <w:iCs/>
          <w:sz w:val="20"/>
          <w:szCs w:val="20"/>
        </w:rPr>
        <w:t xml:space="preserve"> Women and the Vote 1837-1965, </w:t>
      </w:r>
      <w:r w:rsidRPr="00E66EFE">
        <w:rPr>
          <w:sz w:val="20"/>
          <w:szCs w:val="20"/>
        </w:rPr>
        <w:t>ed. Ann D. Gordon et al. (Amherst: University of</w:t>
      </w:r>
    </w:p>
    <w:p w14:paraId="3A0F112A" w14:textId="5F08378C" w:rsidR="00E66EFE" w:rsidRPr="00E66EFE" w:rsidRDefault="00E66EFE" w:rsidP="00E66EFE">
      <w:pPr>
        <w:pStyle w:val="p1"/>
        <w:rPr>
          <w:sz w:val="20"/>
          <w:szCs w:val="20"/>
        </w:rPr>
      </w:pPr>
      <w:r w:rsidRPr="00E66EFE">
        <w:rPr>
          <w:sz w:val="20"/>
          <w:szCs w:val="20"/>
        </w:rPr>
        <w:t>Massachusetts Press, 1997), 24-40.</w:t>
      </w:r>
    </w:p>
  </w:footnote>
  <w:footnote w:id="5">
    <w:p w14:paraId="56856971" w14:textId="77777777" w:rsidR="00D34C81" w:rsidRDefault="00C31AE7">
      <w:pPr>
        <w:pStyle w:val="footnotedescription"/>
        <w:spacing w:line="240" w:lineRule="auto"/>
      </w:pPr>
      <w:r>
        <w:rPr>
          <w:rStyle w:val="footnotemark"/>
        </w:rPr>
        <w:footnoteRef/>
      </w:r>
      <w:r>
        <w:t xml:space="preserve"> Bettye Collier-Thomas, “Frances Ellen Watkins Harper Abolitionist and Feminist Reformer 1825-1911,” in </w:t>
      </w:r>
      <w:proofErr w:type="gramStart"/>
      <w:r>
        <w:rPr>
          <w:i/>
        </w:rPr>
        <w:t>African-American</w:t>
      </w:r>
      <w:proofErr w:type="gramEnd"/>
      <w:r>
        <w:rPr>
          <w:i/>
        </w:rPr>
        <w:t xml:space="preserve"> Women and the Vote 1837-1965, </w:t>
      </w:r>
      <w:r>
        <w:t>ed. Ann D. Gordon et al. (Amherst: University of Massachusetts Press, 1997), 41-65.</w:t>
      </w:r>
    </w:p>
  </w:footnote>
  <w:footnote w:id="6">
    <w:p w14:paraId="572AF8C1" w14:textId="77777777" w:rsidR="00D34C81" w:rsidRDefault="00C31AE7">
      <w:pPr>
        <w:pStyle w:val="footnotedescription"/>
        <w:spacing w:after="17" w:line="240" w:lineRule="auto"/>
      </w:pPr>
      <w:r>
        <w:rPr>
          <w:rStyle w:val="footnotemark"/>
        </w:rPr>
        <w:footnoteRef/>
      </w:r>
      <w:r>
        <w:t xml:space="preserve"> “Let the Women Vote: And Disfranchisement the Illiterate Negro, Says Lucy Stone’s Husband. He Has a New Scheme to Offer: Says He Has Studied ‘the Southern Question,’ and That is the Only Solution of the Subject,” </w:t>
      </w:r>
      <w:r>
        <w:rPr>
          <w:i/>
        </w:rPr>
        <w:t>Atlanta Journal Constitution</w:t>
      </w:r>
      <w:r>
        <w:t xml:space="preserve"> (Atlanta, GA), Feb. 4, 1895. </w:t>
      </w:r>
    </w:p>
  </w:footnote>
  <w:footnote w:id="7">
    <w:p w14:paraId="2695E2C0" w14:textId="77777777" w:rsidR="00D34C81" w:rsidRDefault="00C31AE7">
      <w:pPr>
        <w:pStyle w:val="footnotedescription"/>
        <w:spacing w:line="241" w:lineRule="auto"/>
      </w:pPr>
      <w:r>
        <w:rPr>
          <w:rStyle w:val="footnotemark"/>
        </w:rPr>
        <w:footnoteRef/>
      </w:r>
      <w:r>
        <w:t xml:space="preserve"> Elizabeth Osborn, “The Seneca Falls Convention: Teaching About the Rights of Women and the Heritage of the Declaration of Independence,” ERIC Digest, June 2001,</w:t>
      </w:r>
      <w:hyperlink r:id="rId1">
        <w:r w:rsidR="00D34C81">
          <w:t xml:space="preserve"> </w:t>
        </w:r>
      </w:hyperlink>
      <w:hyperlink r:id="rId2">
        <w:r w:rsidR="00D34C81">
          <w:rPr>
            <w:u w:val="single" w:color="000000"/>
          </w:rPr>
          <w:t>https://eric.ed.gov/?id=ED453151</w:t>
        </w:r>
      </w:hyperlink>
      <w:r>
        <w:t>.</w:t>
      </w:r>
    </w:p>
  </w:footnote>
  <w:footnote w:id="8">
    <w:p w14:paraId="5F28A309" w14:textId="77777777" w:rsidR="00D34C81" w:rsidRDefault="00C31AE7">
      <w:pPr>
        <w:pStyle w:val="footnotedescription"/>
        <w:spacing w:after="27" w:line="259" w:lineRule="auto"/>
      </w:pPr>
      <w:r>
        <w:rPr>
          <w:rStyle w:val="footnotemark"/>
        </w:rPr>
        <w:footnoteRef/>
      </w:r>
      <w:r>
        <w:t xml:space="preserve"> </w:t>
      </w:r>
      <w:r w:rsidRPr="0001576E">
        <w:rPr>
          <w:i/>
          <w:iCs/>
        </w:rPr>
        <w:t>Ibid</w:t>
      </w:r>
      <w:r>
        <w:t xml:space="preserve">. </w:t>
      </w:r>
    </w:p>
  </w:footnote>
  <w:footnote w:id="9">
    <w:p w14:paraId="35036E75" w14:textId="77777777" w:rsidR="00D34C81" w:rsidRDefault="00C31AE7">
      <w:pPr>
        <w:pStyle w:val="footnotedescription"/>
        <w:spacing w:line="241" w:lineRule="auto"/>
      </w:pPr>
      <w:r>
        <w:rPr>
          <w:rStyle w:val="footnotemark"/>
        </w:rPr>
        <w:footnoteRef/>
      </w:r>
      <w:r>
        <w:t xml:space="preserve"> Elizabeth Osborn, “The Seneca Falls Convention: Teaching About the Rights of Women and the Heritage of the Declaration of Independence,” ERIC Digest, June 2001,</w:t>
      </w:r>
      <w:hyperlink r:id="rId3">
        <w:r w:rsidR="00D34C81">
          <w:t xml:space="preserve"> </w:t>
        </w:r>
      </w:hyperlink>
      <w:hyperlink r:id="rId4">
        <w:r w:rsidR="00D34C81">
          <w:rPr>
            <w:u w:val="single" w:color="000000"/>
          </w:rPr>
          <w:t>https://eric.ed.gov/?id=ED453151</w:t>
        </w:r>
      </w:hyperlink>
      <w:r>
        <w:t>.</w:t>
      </w:r>
    </w:p>
  </w:footnote>
  <w:footnote w:id="10">
    <w:p w14:paraId="5FB13E57" w14:textId="77777777" w:rsidR="00D34C81" w:rsidRDefault="00C31AE7">
      <w:pPr>
        <w:pStyle w:val="footnotedescription"/>
        <w:spacing w:line="243" w:lineRule="auto"/>
      </w:pPr>
      <w:r>
        <w:rPr>
          <w:rStyle w:val="footnotemark"/>
        </w:rPr>
        <w:footnoteRef/>
      </w:r>
      <w:r>
        <w:t xml:space="preserve"> “Declaration of Sentiments,” National Park Service, accessed December 10, 2024, </w:t>
      </w:r>
      <w:hyperlink r:id="rId5">
        <w:r w:rsidR="00D34C81">
          <w:rPr>
            <w:u w:val="single" w:color="000000"/>
          </w:rPr>
          <w:t>https://www.nps.gov/wori/learn/historyculture/declaration-of-sentiments.htm</w:t>
        </w:r>
      </w:hyperlink>
      <w:r>
        <w:t>.</w:t>
      </w:r>
    </w:p>
  </w:footnote>
  <w:footnote w:id="11">
    <w:p w14:paraId="2DB18685" w14:textId="77777777" w:rsidR="00D34C81" w:rsidRDefault="00C31AE7">
      <w:pPr>
        <w:pStyle w:val="footnotedescription"/>
        <w:spacing w:after="33" w:line="259" w:lineRule="auto"/>
      </w:pPr>
      <w:r>
        <w:rPr>
          <w:rStyle w:val="footnotemark"/>
        </w:rPr>
        <w:footnoteRef/>
      </w:r>
      <w:r>
        <w:t xml:space="preserve"> </w:t>
      </w:r>
      <w:r w:rsidRPr="0001576E">
        <w:rPr>
          <w:i/>
          <w:iCs/>
        </w:rPr>
        <w:t>Ibid</w:t>
      </w:r>
      <w:r>
        <w:t xml:space="preserve">. </w:t>
      </w:r>
    </w:p>
  </w:footnote>
  <w:footnote w:id="12">
    <w:p w14:paraId="0E8259E9" w14:textId="77777777" w:rsidR="00D34C81" w:rsidRDefault="00C31AE7">
      <w:pPr>
        <w:pStyle w:val="footnotedescription"/>
        <w:spacing w:line="240" w:lineRule="auto"/>
      </w:pPr>
      <w:r>
        <w:rPr>
          <w:rStyle w:val="footnotemark"/>
        </w:rPr>
        <w:footnoteRef/>
      </w:r>
      <w:r>
        <w:t xml:space="preserve"> Willi Coleman, “Architects of a Vision: Black Women and Their Antebellum Quest for Political and Social Equality,” in </w:t>
      </w:r>
      <w:proofErr w:type="gramStart"/>
      <w:r>
        <w:rPr>
          <w:i/>
        </w:rPr>
        <w:t>African-American</w:t>
      </w:r>
      <w:proofErr w:type="gramEnd"/>
      <w:r>
        <w:rPr>
          <w:i/>
        </w:rPr>
        <w:t xml:space="preserve"> Women and the Vote 1837-1965, </w:t>
      </w:r>
      <w:r>
        <w:t xml:space="preserve">ed. Ann D. Gordon et al. (Amherst: University of Massachusetts Press, 1997), 24-40. </w:t>
      </w:r>
    </w:p>
  </w:footnote>
  <w:footnote w:id="13">
    <w:p w14:paraId="117F017A" w14:textId="04C8F460" w:rsidR="00E66EFE" w:rsidRPr="00E66EFE" w:rsidRDefault="00E66EFE" w:rsidP="00E66EFE">
      <w:pPr>
        <w:pStyle w:val="p1"/>
        <w:rPr>
          <w:sz w:val="20"/>
          <w:szCs w:val="20"/>
        </w:rPr>
      </w:pPr>
      <w:r w:rsidRPr="00E66EFE">
        <w:rPr>
          <w:rStyle w:val="FootnoteReference"/>
          <w:sz w:val="20"/>
          <w:szCs w:val="20"/>
        </w:rPr>
        <w:footnoteRef/>
      </w:r>
      <w:r w:rsidRPr="00E66EFE">
        <w:rPr>
          <w:sz w:val="20"/>
          <w:szCs w:val="20"/>
        </w:rPr>
        <w:t xml:space="preserve"> Willi Coleman, “Architects of a Vision: Black Women and Their Antebellum Quest for Political and Social</w:t>
      </w:r>
    </w:p>
    <w:p w14:paraId="4F4B6E76" w14:textId="2C53B6FB" w:rsidR="00E66EFE" w:rsidRPr="00E66EFE" w:rsidRDefault="00E66EFE" w:rsidP="00E66EFE">
      <w:pPr>
        <w:pStyle w:val="p1"/>
        <w:rPr>
          <w:sz w:val="20"/>
          <w:szCs w:val="20"/>
        </w:rPr>
      </w:pPr>
      <w:r w:rsidRPr="00E66EFE">
        <w:rPr>
          <w:sz w:val="20"/>
          <w:szCs w:val="20"/>
        </w:rPr>
        <w:t xml:space="preserve">Equality,” in </w:t>
      </w:r>
      <w:proofErr w:type="gramStart"/>
      <w:r w:rsidRPr="00E66EFE">
        <w:rPr>
          <w:i/>
          <w:iCs/>
          <w:sz w:val="20"/>
          <w:szCs w:val="20"/>
        </w:rPr>
        <w:t>African-American</w:t>
      </w:r>
      <w:proofErr w:type="gramEnd"/>
      <w:r w:rsidRPr="00E66EFE">
        <w:rPr>
          <w:i/>
          <w:iCs/>
          <w:sz w:val="20"/>
          <w:szCs w:val="20"/>
        </w:rPr>
        <w:t xml:space="preserve"> Women and the Vote 1837-1965, </w:t>
      </w:r>
      <w:r w:rsidRPr="00E66EFE">
        <w:rPr>
          <w:sz w:val="20"/>
          <w:szCs w:val="20"/>
        </w:rPr>
        <w:t>ed. Ann D. Gordon et al. (Amherst: University of</w:t>
      </w:r>
    </w:p>
    <w:p w14:paraId="1BD97BC9" w14:textId="77777777" w:rsidR="00E66EFE" w:rsidRPr="00E66EFE" w:rsidRDefault="00E66EFE" w:rsidP="00E66EFE">
      <w:pPr>
        <w:pStyle w:val="p1"/>
        <w:rPr>
          <w:sz w:val="20"/>
          <w:szCs w:val="20"/>
        </w:rPr>
      </w:pPr>
      <w:r w:rsidRPr="00E66EFE">
        <w:rPr>
          <w:sz w:val="20"/>
          <w:szCs w:val="20"/>
        </w:rPr>
        <w:t>Massachusetts Press, 1997), 24-40.</w:t>
      </w:r>
    </w:p>
    <w:p w14:paraId="4E79A4B7" w14:textId="016E9C79" w:rsidR="00E66EFE" w:rsidRPr="00E66EFE" w:rsidRDefault="00E66EFE">
      <w:pPr>
        <w:pStyle w:val="FootnoteText"/>
        <w:rPr>
          <w:lang w:val="en-US"/>
        </w:rPr>
      </w:pPr>
    </w:p>
  </w:footnote>
  <w:footnote w:id="14">
    <w:p w14:paraId="2FCEC90B" w14:textId="77777777" w:rsidR="00E66EFE" w:rsidRPr="0001576E" w:rsidRDefault="00E66EFE" w:rsidP="00E66EFE">
      <w:pPr>
        <w:pStyle w:val="footnotedescription"/>
        <w:spacing w:line="259" w:lineRule="auto"/>
        <w:rPr>
          <w:szCs w:val="20"/>
        </w:rPr>
      </w:pPr>
      <w:r>
        <w:rPr>
          <w:rStyle w:val="FootnoteReference"/>
        </w:rPr>
        <w:footnoteRef/>
      </w:r>
      <w:r>
        <w:t xml:space="preserve"> </w:t>
      </w:r>
      <w:r w:rsidRPr="0001576E">
        <w:rPr>
          <w:szCs w:val="20"/>
        </w:rPr>
        <w:t>Ervin M. Carr, “Alabama Woman Ridicules Idea that Suffrage Amendment Would Give Vote to Negro Women,”</w:t>
      </w:r>
      <w:r w:rsidRPr="0001576E">
        <w:rPr>
          <w:i/>
          <w:szCs w:val="20"/>
        </w:rPr>
        <w:t xml:space="preserve"> </w:t>
      </w:r>
    </w:p>
    <w:p w14:paraId="485ECB77" w14:textId="2B036A9D" w:rsidR="00E66EFE" w:rsidRPr="0001576E" w:rsidRDefault="00E66EFE" w:rsidP="00E66EFE">
      <w:pPr>
        <w:pStyle w:val="FootnoteText"/>
        <w:ind w:left="0" w:firstLine="0"/>
        <w:rPr>
          <w:lang w:val="en-US"/>
        </w:rPr>
      </w:pPr>
      <w:r w:rsidRPr="0001576E">
        <w:rPr>
          <w:i/>
        </w:rPr>
        <w:t xml:space="preserve">Alabama Equal Suffrage Association </w:t>
      </w:r>
      <w:r w:rsidRPr="0001576E">
        <w:t xml:space="preserve">(Birmingham, AL), 1919, </w:t>
      </w:r>
      <w:hyperlink r:id="rId6">
        <w:r w:rsidRPr="0001576E">
          <w:rPr>
            <w:u w:val="single" w:color="000000"/>
          </w:rPr>
          <w:t>https://davidson.primo.exlibrisgroup.com/permalink/01DCOLL_INST/pven4q/alma991025240548105716</w:t>
        </w:r>
      </w:hyperlink>
      <w:r w:rsidRPr="0001576E">
        <w:t>.</w:t>
      </w:r>
    </w:p>
  </w:footnote>
  <w:footnote w:id="15">
    <w:p w14:paraId="5794C143" w14:textId="1B8BAA15" w:rsidR="0001576E" w:rsidRPr="0001576E" w:rsidRDefault="0001576E" w:rsidP="0001576E">
      <w:pPr>
        <w:pStyle w:val="p1"/>
        <w:rPr>
          <w:sz w:val="20"/>
          <w:szCs w:val="20"/>
        </w:rPr>
      </w:pPr>
      <w:r w:rsidRPr="0001576E">
        <w:rPr>
          <w:rStyle w:val="FootnoteReference"/>
          <w:sz w:val="20"/>
          <w:szCs w:val="20"/>
        </w:rPr>
        <w:footnoteRef/>
      </w:r>
      <w:r w:rsidRPr="0001576E">
        <w:rPr>
          <w:sz w:val="20"/>
          <w:szCs w:val="20"/>
        </w:rPr>
        <w:t xml:space="preserve"> Willi Coleman, “Architects of a Vision: Black Women and Their Antebellum Quest for Political and Social</w:t>
      </w:r>
    </w:p>
    <w:p w14:paraId="6CA1FD99" w14:textId="5808A7EB" w:rsidR="0001576E" w:rsidRPr="0001576E" w:rsidRDefault="0001576E" w:rsidP="0001576E">
      <w:pPr>
        <w:pStyle w:val="p1"/>
        <w:rPr>
          <w:sz w:val="20"/>
          <w:szCs w:val="20"/>
        </w:rPr>
      </w:pPr>
      <w:r w:rsidRPr="0001576E">
        <w:rPr>
          <w:sz w:val="20"/>
          <w:szCs w:val="20"/>
        </w:rPr>
        <w:t xml:space="preserve">Equality,” in </w:t>
      </w:r>
      <w:proofErr w:type="gramStart"/>
      <w:r w:rsidRPr="0001576E">
        <w:rPr>
          <w:i/>
          <w:iCs/>
          <w:sz w:val="20"/>
          <w:szCs w:val="20"/>
        </w:rPr>
        <w:t>African-American</w:t>
      </w:r>
      <w:proofErr w:type="gramEnd"/>
      <w:r w:rsidRPr="0001576E">
        <w:rPr>
          <w:i/>
          <w:iCs/>
          <w:sz w:val="20"/>
          <w:szCs w:val="20"/>
        </w:rPr>
        <w:t xml:space="preserve"> Women and the Vote 1837-1965, </w:t>
      </w:r>
      <w:r w:rsidRPr="0001576E">
        <w:rPr>
          <w:sz w:val="20"/>
          <w:szCs w:val="20"/>
        </w:rPr>
        <w:t>ed. Ann D. Gordon et al. (Amherst: University of</w:t>
      </w:r>
    </w:p>
    <w:p w14:paraId="0933F470" w14:textId="220CB39A" w:rsidR="0001576E" w:rsidRPr="0001576E" w:rsidRDefault="0001576E" w:rsidP="0001576E">
      <w:pPr>
        <w:pStyle w:val="p1"/>
        <w:rPr>
          <w:sz w:val="20"/>
          <w:szCs w:val="20"/>
        </w:rPr>
      </w:pPr>
      <w:r w:rsidRPr="0001576E">
        <w:rPr>
          <w:sz w:val="20"/>
          <w:szCs w:val="20"/>
        </w:rPr>
        <w:t>Massachusetts Press, 1997), 24-40.</w:t>
      </w:r>
    </w:p>
  </w:footnote>
  <w:footnote w:id="16">
    <w:p w14:paraId="312A6269" w14:textId="3C123875" w:rsidR="0001576E" w:rsidRPr="0001576E" w:rsidRDefault="0001576E" w:rsidP="0001576E">
      <w:pPr>
        <w:pStyle w:val="FootnoteText"/>
        <w:ind w:left="0" w:firstLine="0"/>
        <w:rPr>
          <w:lang w:val="en-US"/>
        </w:rPr>
      </w:pPr>
      <w:r>
        <w:rPr>
          <w:rStyle w:val="FootnoteReference"/>
        </w:rPr>
        <w:footnoteRef/>
      </w:r>
      <w:r>
        <w:t xml:space="preserve"> </w:t>
      </w:r>
      <w:r w:rsidRPr="0001576E">
        <w:rPr>
          <w:i/>
          <w:iCs/>
        </w:rPr>
        <w:t>Ibid</w:t>
      </w:r>
      <w:r>
        <w:t xml:space="preserve">. </w:t>
      </w:r>
    </w:p>
  </w:footnote>
  <w:footnote w:id="17">
    <w:p w14:paraId="7C9C71BB" w14:textId="2293DB8F" w:rsidR="0001576E" w:rsidRPr="0001576E" w:rsidRDefault="0001576E" w:rsidP="0001576E">
      <w:pPr>
        <w:pStyle w:val="p1"/>
        <w:rPr>
          <w:sz w:val="20"/>
          <w:szCs w:val="20"/>
        </w:rPr>
      </w:pPr>
      <w:r w:rsidRPr="0001576E">
        <w:rPr>
          <w:rStyle w:val="FootnoteReference"/>
          <w:sz w:val="20"/>
          <w:szCs w:val="20"/>
        </w:rPr>
        <w:footnoteRef/>
      </w:r>
      <w:r w:rsidRPr="0001576E">
        <w:rPr>
          <w:sz w:val="20"/>
          <w:szCs w:val="20"/>
        </w:rPr>
        <w:t xml:space="preserve"> Willi Coleman,</w:t>
      </w:r>
      <w:r>
        <w:rPr>
          <w:sz w:val="20"/>
          <w:szCs w:val="20"/>
        </w:rPr>
        <w:t xml:space="preserve"> </w:t>
      </w:r>
      <w:r w:rsidRPr="0001576E">
        <w:rPr>
          <w:sz w:val="20"/>
          <w:szCs w:val="20"/>
        </w:rPr>
        <w:t>“Architects of a Vision: Black Women and Their Antebellum Quest for Political and Social</w:t>
      </w:r>
    </w:p>
    <w:p w14:paraId="33DA2600" w14:textId="1D5AD06C" w:rsidR="0001576E" w:rsidRPr="0001576E" w:rsidRDefault="0001576E" w:rsidP="0001576E">
      <w:pPr>
        <w:pStyle w:val="p1"/>
        <w:rPr>
          <w:sz w:val="20"/>
          <w:szCs w:val="20"/>
        </w:rPr>
      </w:pPr>
      <w:r w:rsidRPr="0001576E">
        <w:rPr>
          <w:sz w:val="20"/>
          <w:szCs w:val="20"/>
        </w:rPr>
        <w:t xml:space="preserve">Equality,” in </w:t>
      </w:r>
      <w:proofErr w:type="gramStart"/>
      <w:r w:rsidRPr="0001576E">
        <w:rPr>
          <w:i/>
          <w:iCs/>
          <w:sz w:val="20"/>
          <w:szCs w:val="20"/>
        </w:rPr>
        <w:t>African-American</w:t>
      </w:r>
      <w:proofErr w:type="gramEnd"/>
      <w:r w:rsidRPr="0001576E">
        <w:rPr>
          <w:i/>
          <w:iCs/>
          <w:sz w:val="20"/>
          <w:szCs w:val="20"/>
        </w:rPr>
        <w:t xml:space="preserve"> Women and the Vote 1837-1965, </w:t>
      </w:r>
      <w:r w:rsidRPr="0001576E">
        <w:rPr>
          <w:sz w:val="20"/>
          <w:szCs w:val="20"/>
        </w:rPr>
        <w:t>ed. Ann D. Gordon et al. (Amherst: University of</w:t>
      </w:r>
    </w:p>
    <w:p w14:paraId="47D992F8" w14:textId="3FFA800C" w:rsidR="0001576E" w:rsidRPr="0001576E" w:rsidRDefault="0001576E" w:rsidP="0001576E">
      <w:pPr>
        <w:pStyle w:val="p1"/>
        <w:rPr>
          <w:sz w:val="20"/>
          <w:szCs w:val="20"/>
        </w:rPr>
      </w:pPr>
      <w:r w:rsidRPr="0001576E">
        <w:rPr>
          <w:sz w:val="20"/>
          <w:szCs w:val="20"/>
        </w:rPr>
        <w:t>Massachusetts Press, 1997), 24-40.</w:t>
      </w:r>
    </w:p>
  </w:footnote>
  <w:footnote w:id="18">
    <w:p w14:paraId="17CA17ED" w14:textId="77777777" w:rsidR="00D34C81" w:rsidRPr="00905A86" w:rsidRDefault="00C31AE7">
      <w:pPr>
        <w:pStyle w:val="footnotedescription"/>
        <w:spacing w:after="15" w:line="259" w:lineRule="auto"/>
      </w:pPr>
      <w:r w:rsidRPr="00905A86">
        <w:rPr>
          <w:rStyle w:val="footnotemark"/>
        </w:rPr>
        <w:footnoteRef/>
      </w:r>
      <w:r w:rsidRPr="00905A86">
        <w:t xml:space="preserve"> </w:t>
      </w:r>
      <w:r w:rsidRPr="00905A86">
        <w:rPr>
          <w:i/>
          <w:iCs/>
        </w:rPr>
        <w:t>Ibid</w:t>
      </w:r>
      <w:r w:rsidRPr="00905A86">
        <w:t xml:space="preserve">. </w:t>
      </w:r>
    </w:p>
  </w:footnote>
  <w:footnote w:id="19">
    <w:p w14:paraId="3F048EAD" w14:textId="77777777" w:rsidR="00D34C81" w:rsidRPr="00905A86" w:rsidRDefault="00C31AE7">
      <w:pPr>
        <w:pStyle w:val="footnotedescription"/>
        <w:spacing w:after="15" w:line="259" w:lineRule="auto"/>
      </w:pPr>
      <w:r w:rsidRPr="00905A86">
        <w:rPr>
          <w:rStyle w:val="footnotemark"/>
        </w:rPr>
        <w:footnoteRef/>
      </w:r>
      <w:r w:rsidRPr="00905A86">
        <w:t xml:space="preserve"> </w:t>
      </w:r>
      <w:r w:rsidRPr="00905A86">
        <w:rPr>
          <w:i/>
          <w:iCs/>
        </w:rPr>
        <w:t>Ibid</w:t>
      </w:r>
      <w:r w:rsidRPr="00905A86">
        <w:t xml:space="preserve">. </w:t>
      </w:r>
    </w:p>
  </w:footnote>
  <w:footnote w:id="20">
    <w:p w14:paraId="2CE269CD" w14:textId="77777777" w:rsidR="00D34C81" w:rsidRDefault="00C31AE7">
      <w:pPr>
        <w:pStyle w:val="footnotedescription"/>
        <w:spacing w:line="259" w:lineRule="auto"/>
      </w:pPr>
      <w:r w:rsidRPr="00905A86">
        <w:rPr>
          <w:rStyle w:val="footnotemark"/>
        </w:rPr>
        <w:footnoteRef/>
      </w:r>
      <w:r w:rsidRPr="00905A86">
        <w:t xml:space="preserve"> </w:t>
      </w:r>
      <w:r w:rsidRPr="00905A86">
        <w:rPr>
          <w:i/>
          <w:iCs/>
        </w:rPr>
        <w:t>Ibid</w:t>
      </w:r>
      <w:r w:rsidRPr="00905A86">
        <w:t>.</w:t>
      </w:r>
      <w:r>
        <w:t xml:space="preserve"> </w:t>
      </w:r>
    </w:p>
  </w:footnote>
  <w:footnote w:id="21">
    <w:p w14:paraId="0501A6FB" w14:textId="77777777" w:rsidR="00D34C81" w:rsidRDefault="00C31AE7">
      <w:pPr>
        <w:pStyle w:val="footnotedescription"/>
        <w:spacing w:after="14"/>
      </w:pPr>
      <w:r>
        <w:rPr>
          <w:rStyle w:val="footnotemark"/>
        </w:rPr>
        <w:footnoteRef/>
      </w:r>
      <w:r>
        <w:t xml:space="preserve"> “Miss Anthony and Negroes: Drawing of the Color Line by Women’s a Mistake, She Says,” </w:t>
      </w:r>
      <w:r>
        <w:rPr>
          <w:i/>
        </w:rPr>
        <w:t>New York Times</w:t>
      </w:r>
      <w:r>
        <w:t xml:space="preserve"> (New York, NY), Jun. 25, 1900. </w:t>
      </w:r>
    </w:p>
  </w:footnote>
  <w:footnote w:id="22">
    <w:p w14:paraId="2B6FA5EE" w14:textId="77777777" w:rsidR="00D34C81" w:rsidRDefault="00C31AE7">
      <w:pPr>
        <w:pStyle w:val="footnotedescription"/>
        <w:spacing w:after="14"/>
      </w:pPr>
      <w:r>
        <w:rPr>
          <w:rStyle w:val="footnotemark"/>
        </w:rPr>
        <w:footnoteRef/>
      </w:r>
      <w:r>
        <w:t xml:space="preserve"> “Negro Conference Adjourns: Letter is Read from Susan B. Anthony on Woman Suffrage,” </w:t>
      </w:r>
      <w:r>
        <w:rPr>
          <w:i/>
        </w:rPr>
        <w:t xml:space="preserve">Atlanta Journal Constitution </w:t>
      </w:r>
      <w:r>
        <w:t xml:space="preserve">(Atlanta, GA), Jul. 28, 1900. </w:t>
      </w:r>
    </w:p>
  </w:footnote>
  <w:footnote w:id="23">
    <w:p w14:paraId="753D5E85" w14:textId="77777777" w:rsidR="00D34C81" w:rsidRDefault="00C31AE7">
      <w:pPr>
        <w:pStyle w:val="footnotedescription"/>
        <w:spacing w:line="259" w:lineRule="auto"/>
      </w:pPr>
      <w:r>
        <w:rPr>
          <w:rStyle w:val="footnotemark"/>
        </w:rPr>
        <w:footnoteRef/>
      </w:r>
      <w:r>
        <w:t xml:space="preserve"> “Suffrage for Women: Miss Anthony Tells of Progress of the Movement. Seek to Win Western States: Four </w:t>
      </w:r>
    </w:p>
    <w:p w14:paraId="4E6003F6" w14:textId="77777777" w:rsidR="00D34C81" w:rsidRDefault="00C31AE7">
      <w:pPr>
        <w:pStyle w:val="footnotedescription"/>
        <w:spacing w:after="17" w:line="238" w:lineRule="auto"/>
      </w:pPr>
      <w:r>
        <w:t xml:space="preserve">Already Have Woman’s Suffrage and It Is Hoped Soon to Win Iowa – No Chance in Manufacturing States – In the South Prospect of Negro Women Voting is an Obstacle – Convention of Woman Suffragists Begins Next Week,” </w:t>
      </w:r>
      <w:r>
        <w:rPr>
          <w:i/>
        </w:rPr>
        <w:t xml:space="preserve">Washington Post </w:t>
      </w:r>
      <w:r>
        <w:t xml:space="preserve">(Washington D.C.), Feb. 1, 1900. </w:t>
      </w:r>
    </w:p>
  </w:footnote>
  <w:footnote w:id="24">
    <w:p w14:paraId="5484C091" w14:textId="77777777" w:rsidR="00D34C81" w:rsidRDefault="00C31AE7">
      <w:pPr>
        <w:pStyle w:val="footnotedescription"/>
        <w:spacing w:after="14" w:line="240" w:lineRule="auto"/>
      </w:pPr>
      <w:r>
        <w:rPr>
          <w:rStyle w:val="footnotemark"/>
        </w:rPr>
        <w:footnoteRef/>
      </w:r>
      <w:r>
        <w:t xml:space="preserve"> Bettye Collier-Thomas, “Frances Ellen Watkins Harper Abolitionist and Feminist Reformer 1825-1911,” in </w:t>
      </w:r>
      <w:proofErr w:type="gramStart"/>
      <w:r>
        <w:rPr>
          <w:i/>
        </w:rPr>
        <w:t>African-American</w:t>
      </w:r>
      <w:proofErr w:type="gramEnd"/>
      <w:r>
        <w:rPr>
          <w:i/>
        </w:rPr>
        <w:t xml:space="preserve"> Women and the Vote 1837-1965, </w:t>
      </w:r>
      <w:r>
        <w:t>ed. Ann D. Gordon et al. (Amherst: University of Massachusetts Press, 1997), 41-65.</w:t>
      </w:r>
    </w:p>
  </w:footnote>
  <w:footnote w:id="25">
    <w:p w14:paraId="03DC7078" w14:textId="77777777" w:rsidR="00D34C81" w:rsidRDefault="00C31AE7">
      <w:pPr>
        <w:pStyle w:val="footnotedescription"/>
        <w:spacing w:line="244" w:lineRule="auto"/>
        <w:ind w:right="195"/>
      </w:pPr>
      <w:r>
        <w:rPr>
          <w:rStyle w:val="footnotemark"/>
        </w:rPr>
        <w:footnoteRef/>
      </w:r>
      <w:r>
        <w:t xml:space="preserve"> Debra </w:t>
      </w:r>
      <w:proofErr w:type="spellStart"/>
      <w:r>
        <w:t>Michals</w:t>
      </w:r>
      <w:proofErr w:type="spellEnd"/>
      <w:r>
        <w:t xml:space="preserve">, “Sojourner Truth,” National Women’s History Museum, 2015, </w:t>
      </w:r>
      <w:hyperlink r:id="rId7">
        <w:r w:rsidR="00D34C81">
          <w:rPr>
            <w:u w:val="single" w:color="000000"/>
          </w:rPr>
          <w:t>https://www.womenshistory.org/education-resources/biographies/sojourner-truth</w:t>
        </w:r>
      </w:hyperlink>
      <w:r>
        <w:t xml:space="preserve">; Willi Coleman, “Architects of a Vision: Black Women and Their Antebellum Quest for Political and Social Equality,” in </w:t>
      </w:r>
      <w:r>
        <w:rPr>
          <w:i/>
        </w:rPr>
        <w:t xml:space="preserve">African-American Women and the Vote 1837-1965, </w:t>
      </w:r>
      <w:r>
        <w:t xml:space="preserve">ed. Ann D. Gordon et al. (Amherst: University of Massachusetts Press, 1997), 24-40. </w:t>
      </w:r>
      <w:r>
        <w:rPr>
          <w:sz w:val="18"/>
          <w:vertAlign w:val="superscript"/>
        </w:rPr>
        <w:t>26</w:t>
      </w:r>
      <w:r>
        <w:t xml:space="preserve">  “Smith, Amanda [Berry] (1837-1915),” Boston University: School of Theology, accessed December 10, 2024, </w:t>
      </w:r>
      <w:hyperlink r:id="rId8">
        <w:r w:rsidR="00D34C81">
          <w:rPr>
            <w:u w:val="single" w:color="000000"/>
          </w:rPr>
          <w:t>https://www.bu.edu/missiology/missionary-biography/r-s/smith-amanda-berry-1837-1915</w:t>
        </w:r>
      </w:hyperlink>
    </w:p>
  </w:footnote>
  <w:footnote w:id="26">
    <w:p w14:paraId="1175057F" w14:textId="231845D3" w:rsidR="008626EC" w:rsidRPr="008626EC" w:rsidRDefault="008626EC" w:rsidP="008626EC">
      <w:pPr>
        <w:pStyle w:val="p1"/>
        <w:rPr>
          <w:sz w:val="20"/>
          <w:szCs w:val="20"/>
        </w:rPr>
      </w:pPr>
      <w:r w:rsidRPr="008626EC">
        <w:rPr>
          <w:rStyle w:val="FootnoteReference"/>
          <w:sz w:val="20"/>
          <w:szCs w:val="20"/>
        </w:rPr>
        <w:footnoteRef/>
      </w:r>
      <w:r w:rsidRPr="008626EC">
        <w:rPr>
          <w:sz w:val="20"/>
          <w:szCs w:val="20"/>
        </w:rPr>
        <w:t xml:space="preserve"> “Smith, Amanda [Berry] (1837-1915),” Boston University: School of Theology, accessed December 10, 2024,</w:t>
      </w:r>
    </w:p>
    <w:p w14:paraId="39101E42" w14:textId="22B94206" w:rsidR="008626EC" w:rsidRPr="008626EC" w:rsidRDefault="008626EC" w:rsidP="008626EC">
      <w:pPr>
        <w:pStyle w:val="p1"/>
        <w:rPr>
          <w:sz w:val="20"/>
          <w:szCs w:val="20"/>
        </w:rPr>
      </w:pPr>
      <w:r w:rsidRPr="008626EC">
        <w:rPr>
          <w:sz w:val="20"/>
          <w:szCs w:val="20"/>
        </w:rPr>
        <w:t>https://www.bu.edu/missiology/missionary-biography/r-s/smith-amanda-berry-1837-1915</w:t>
      </w:r>
      <w:r>
        <w:rPr>
          <w:sz w:val="20"/>
          <w:szCs w:val="20"/>
        </w:rPr>
        <w:t>.</w:t>
      </w:r>
    </w:p>
  </w:footnote>
  <w:footnote w:id="27">
    <w:p w14:paraId="0C05A2B8" w14:textId="77777777" w:rsidR="008626EC" w:rsidRDefault="008626EC" w:rsidP="008626EC">
      <w:pPr>
        <w:pStyle w:val="footnotedescription"/>
        <w:spacing w:after="14"/>
      </w:pPr>
      <w:r>
        <w:rPr>
          <w:rStyle w:val="footnotemark"/>
        </w:rPr>
        <w:footnoteRef/>
      </w:r>
      <w:r>
        <w:t xml:space="preserve"> “Our History,” NAACP, accessed December 10, 2024, </w:t>
      </w:r>
      <w:hyperlink r:id="rId9" w:anchor=":~:text=Among%20the%20Association%27s%20top%20priorities,an%20end%20to%20the%20violence">
        <w:r>
          <w:rPr>
            <w:u w:val="single" w:color="000000"/>
          </w:rPr>
          <w:t xml:space="preserve">https://naacp.org/about/our-history#:~:text=Among%20the%20Association%27s%20top%20priorities,an%20end%2 </w:t>
        </w:r>
      </w:hyperlink>
      <w:hyperlink r:id="rId10" w:anchor=":~:text=Among%20the%20Association%27s%20top%20priorities,an%20end%20to%20the%20violence">
        <w:r>
          <w:rPr>
            <w:u w:val="single" w:color="000000"/>
          </w:rPr>
          <w:t>0to%20the%20violence</w:t>
        </w:r>
      </w:hyperlink>
      <w:r>
        <w:t>.</w:t>
      </w:r>
    </w:p>
  </w:footnote>
  <w:footnote w:id="28">
    <w:p w14:paraId="4F402258" w14:textId="77777777" w:rsidR="008626EC" w:rsidRDefault="008626EC" w:rsidP="008626EC">
      <w:pPr>
        <w:pStyle w:val="footnotedescription"/>
        <w:spacing w:line="240" w:lineRule="auto"/>
      </w:pPr>
      <w:r>
        <w:rPr>
          <w:rStyle w:val="footnotemark"/>
        </w:rPr>
        <w:footnoteRef/>
      </w:r>
      <w:r>
        <w:t xml:space="preserve"> Bettye Collier-Thomas, “Frances Ellen Watkins Harper Abolitionist and Feminist Reformer 1825-1911,” in </w:t>
      </w:r>
      <w:proofErr w:type="gramStart"/>
      <w:r>
        <w:rPr>
          <w:i/>
        </w:rPr>
        <w:t>African-American</w:t>
      </w:r>
      <w:proofErr w:type="gramEnd"/>
      <w:r>
        <w:rPr>
          <w:i/>
        </w:rPr>
        <w:t xml:space="preserve"> Women and the Vote 1837-1965, </w:t>
      </w:r>
      <w:r>
        <w:t>ed. Ann D. Gordon et al. (Amherst: University of Massachusetts Press, 1997), 41-65.</w:t>
      </w:r>
    </w:p>
  </w:footnote>
  <w:footnote w:id="29">
    <w:p w14:paraId="6A7257F8" w14:textId="77777777" w:rsidR="008626EC" w:rsidRDefault="008626EC" w:rsidP="008626EC">
      <w:pPr>
        <w:pStyle w:val="footnotedescription"/>
        <w:spacing w:after="23" w:line="259" w:lineRule="auto"/>
      </w:pPr>
      <w:r>
        <w:rPr>
          <w:rStyle w:val="footnotemark"/>
        </w:rPr>
        <w:footnoteRef/>
      </w:r>
      <w:r>
        <w:t xml:space="preserve"> </w:t>
      </w:r>
      <w:r w:rsidRPr="008626EC">
        <w:rPr>
          <w:i/>
          <w:iCs/>
        </w:rPr>
        <w:t>Ibid</w:t>
      </w:r>
      <w:r>
        <w:t>.</w:t>
      </w:r>
    </w:p>
  </w:footnote>
  <w:footnote w:id="30">
    <w:p w14:paraId="48103719" w14:textId="77777777" w:rsidR="00D34C81" w:rsidRDefault="00C31AE7">
      <w:pPr>
        <w:pStyle w:val="footnotedescription"/>
        <w:spacing w:after="15" w:line="259" w:lineRule="auto"/>
      </w:pPr>
      <w:r>
        <w:rPr>
          <w:rStyle w:val="footnotemark"/>
        </w:rPr>
        <w:footnoteRef/>
      </w:r>
      <w:r>
        <w:t xml:space="preserve"> </w:t>
      </w:r>
      <w:r w:rsidRPr="008626EC">
        <w:rPr>
          <w:i/>
          <w:iCs/>
        </w:rPr>
        <w:t>Ibid</w:t>
      </w:r>
      <w:r>
        <w:t xml:space="preserve">. </w:t>
      </w:r>
    </w:p>
  </w:footnote>
  <w:footnote w:id="31">
    <w:p w14:paraId="311E9F50" w14:textId="77777777" w:rsidR="00D34C81" w:rsidRDefault="00C31AE7">
      <w:pPr>
        <w:pStyle w:val="footnotedescription"/>
        <w:spacing w:line="259" w:lineRule="auto"/>
      </w:pPr>
      <w:r>
        <w:rPr>
          <w:rStyle w:val="footnotemark"/>
        </w:rPr>
        <w:footnoteRef/>
      </w:r>
      <w:r>
        <w:t xml:space="preserve"> </w:t>
      </w:r>
      <w:r w:rsidRPr="000A5D6D">
        <w:rPr>
          <w:i/>
          <w:iCs/>
        </w:rPr>
        <w:t>Ibid</w:t>
      </w:r>
      <w:r>
        <w:t xml:space="preserve">. </w:t>
      </w:r>
    </w:p>
  </w:footnote>
  <w:footnote w:id="32">
    <w:p w14:paraId="00A9DFB6" w14:textId="77777777" w:rsidR="000A5D6D" w:rsidRDefault="000A5D6D" w:rsidP="000A5D6D">
      <w:pPr>
        <w:pStyle w:val="footnotedescription"/>
        <w:spacing w:after="16" w:line="240" w:lineRule="auto"/>
      </w:pPr>
      <w:r>
        <w:rPr>
          <w:rStyle w:val="footnotemark"/>
        </w:rPr>
        <w:footnoteRef/>
      </w:r>
      <w:r>
        <w:t xml:space="preserve"> Bettye Collier-Thomas, “Frances Ellen Watkins Harper Abolitionist and Feminist Reformer 1825-1911,” in </w:t>
      </w:r>
      <w:proofErr w:type="gramStart"/>
      <w:r>
        <w:rPr>
          <w:i/>
        </w:rPr>
        <w:t>African-American</w:t>
      </w:r>
      <w:proofErr w:type="gramEnd"/>
      <w:r>
        <w:rPr>
          <w:i/>
        </w:rPr>
        <w:t xml:space="preserve"> Women and the Vote 1837-1965, </w:t>
      </w:r>
      <w:r>
        <w:t>ed. Ann D. Gordon et al. (Amherst: University of Massachusetts Press, 1997), 41-65.</w:t>
      </w:r>
    </w:p>
  </w:footnote>
  <w:footnote w:id="33">
    <w:p w14:paraId="6CEECC8D" w14:textId="77777777" w:rsidR="00D34C81" w:rsidRDefault="00C31AE7">
      <w:pPr>
        <w:pStyle w:val="footnotedescription"/>
        <w:spacing w:line="259" w:lineRule="auto"/>
        <w:jc w:val="both"/>
      </w:pPr>
      <w:r>
        <w:rPr>
          <w:rStyle w:val="footnotemark"/>
        </w:rPr>
        <w:footnoteRef/>
      </w:r>
      <w:r>
        <w:t xml:space="preserve"> Sojourner </w:t>
      </w:r>
      <w:proofErr w:type="gramStart"/>
      <w:r>
        <w:t>Truth,“</w:t>
      </w:r>
      <w:proofErr w:type="spellStart"/>
      <w:proofErr w:type="gramEnd"/>
      <w:r>
        <w:t>Ain’t</w:t>
      </w:r>
      <w:proofErr w:type="spellEnd"/>
      <w:r>
        <w:t xml:space="preserve"> I a Woman?,” speech given at Ohio Women’s Rights Convention, Akron, OH, May 1851. </w:t>
      </w:r>
    </w:p>
  </w:footnote>
  <w:footnote w:id="34">
    <w:p w14:paraId="202A1E1B" w14:textId="77777777" w:rsidR="00D34C81" w:rsidRDefault="00C31AE7">
      <w:pPr>
        <w:pStyle w:val="footnotedescription"/>
        <w:spacing w:line="240" w:lineRule="auto"/>
      </w:pPr>
      <w:r>
        <w:rPr>
          <w:rStyle w:val="footnotemark"/>
        </w:rPr>
        <w:footnoteRef/>
      </w:r>
      <w:r>
        <w:t xml:space="preserve"> Bettye Collier-Thomas, “Frances Ellen Watkins Harper Abolitionist and Feminist Reformer 1825-1911,” in </w:t>
      </w:r>
      <w:proofErr w:type="gramStart"/>
      <w:r>
        <w:rPr>
          <w:i/>
        </w:rPr>
        <w:t>African-American</w:t>
      </w:r>
      <w:proofErr w:type="gramEnd"/>
      <w:r>
        <w:rPr>
          <w:i/>
        </w:rPr>
        <w:t xml:space="preserve"> Women and the Vote 1837-1965, </w:t>
      </w:r>
      <w:r>
        <w:t>ed. Ann D. Gordon et al. (Amherst: University of Massachusetts Press, 1997), 41-65.</w:t>
      </w:r>
    </w:p>
  </w:footnote>
  <w:footnote w:id="35">
    <w:p w14:paraId="0AD1C668" w14:textId="77777777" w:rsidR="00D34C81" w:rsidRDefault="00C31AE7">
      <w:pPr>
        <w:pStyle w:val="footnotedescription"/>
        <w:spacing w:after="16" w:line="240" w:lineRule="auto"/>
      </w:pPr>
      <w:r>
        <w:rPr>
          <w:rStyle w:val="footnotemark"/>
        </w:rPr>
        <w:footnoteRef/>
      </w:r>
      <w:r>
        <w:t xml:space="preserve"> Elsa Barkley Brown, “To Catch the Vision of Freedom: Reconstructing Southern Black Women’s Political History, 1865-1880,” in </w:t>
      </w:r>
      <w:proofErr w:type="gramStart"/>
      <w:r>
        <w:rPr>
          <w:i/>
        </w:rPr>
        <w:t>African-American</w:t>
      </w:r>
      <w:proofErr w:type="gramEnd"/>
      <w:r>
        <w:rPr>
          <w:i/>
        </w:rPr>
        <w:t xml:space="preserve"> Women and the Vote 1837-1965, </w:t>
      </w:r>
      <w:r>
        <w:t>ed. Ann D. Gordon et al. (Amherst: University of Massachusetts Press, 1997), 66-99.</w:t>
      </w:r>
    </w:p>
  </w:footnote>
  <w:footnote w:id="36">
    <w:p w14:paraId="2CB53A08" w14:textId="77777777" w:rsidR="00D34C81" w:rsidRDefault="00C31AE7">
      <w:pPr>
        <w:pStyle w:val="footnotedescription"/>
      </w:pPr>
      <w:r>
        <w:rPr>
          <w:rStyle w:val="footnotemark"/>
        </w:rPr>
        <w:footnoteRef/>
      </w:r>
      <w:r>
        <w:t xml:space="preserve"> Cynthia </w:t>
      </w:r>
      <w:proofErr w:type="spellStart"/>
      <w:r>
        <w:t>Neverdon</w:t>
      </w:r>
      <w:proofErr w:type="spellEnd"/>
      <w:r>
        <w:t xml:space="preserve">-Morton, “Advancement of the Race through African American Women’s Organizations in the South, 1895-1925.” In </w:t>
      </w:r>
      <w:proofErr w:type="gramStart"/>
      <w:r>
        <w:rPr>
          <w:i/>
        </w:rPr>
        <w:t>African-American</w:t>
      </w:r>
      <w:proofErr w:type="gramEnd"/>
      <w:r>
        <w:rPr>
          <w:i/>
        </w:rPr>
        <w:t xml:space="preserve"> Women and the Vote 1837-1965, </w:t>
      </w:r>
      <w:r>
        <w:t xml:space="preserve">ed. Ann D. Gordon et al. (Amherst: </w:t>
      </w:r>
    </w:p>
    <w:p w14:paraId="3F800BDD" w14:textId="77777777" w:rsidR="00D34C81" w:rsidRDefault="00C31AE7">
      <w:pPr>
        <w:pStyle w:val="footnotedescription"/>
        <w:spacing w:line="259" w:lineRule="auto"/>
      </w:pPr>
      <w:r>
        <w:t>University of Massachusetts Press, 1997), 120-133.</w:t>
      </w:r>
    </w:p>
  </w:footnote>
  <w:footnote w:id="37">
    <w:p w14:paraId="2E53F7A6" w14:textId="77777777" w:rsidR="00D34C81" w:rsidRDefault="00C31AE7">
      <w:pPr>
        <w:pStyle w:val="footnotedescription"/>
        <w:spacing w:after="16" w:line="240" w:lineRule="auto"/>
      </w:pPr>
      <w:r>
        <w:rPr>
          <w:rStyle w:val="footnotemark"/>
        </w:rPr>
        <w:footnoteRef/>
      </w:r>
      <w:r>
        <w:t xml:space="preserve"> Elsa Barkley Brown, “To Catch the Vision of Freedom: Reconstructing Southern Black Women’s Political History, 1865-1880,” in </w:t>
      </w:r>
      <w:proofErr w:type="gramStart"/>
      <w:r>
        <w:rPr>
          <w:i/>
        </w:rPr>
        <w:t>African-American</w:t>
      </w:r>
      <w:proofErr w:type="gramEnd"/>
      <w:r>
        <w:rPr>
          <w:i/>
        </w:rPr>
        <w:t xml:space="preserve"> Women and the Vote 1837-1965, </w:t>
      </w:r>
      <w:r>
        <w:t>ed. Ann D. Gordon et al. (Amherst: University of Massachusetts Press, 1997), 66-99.</w:t>
      </w:r>
    </w:p>
  </w:footnote>
  <w:footnote w:id="38">
    <w:p w14:paraId="66507764" w14:textId="77777777" w:rsidR="00D34C81" w:rsidRDefault="00C31AE7">
      <w:pPr>
        <w:pStyle w:val="footnotedescription"/>
        <w:spacing w:line="240" w:lineRule="auto"/>
      </w:pPr>
      <w:r>
        <w:rPr>
          <w:rStyle w:val="footnotemark"/>
        </w:rPr>
        <w:footnoteRef/>
      </w:r>
      <w:r>
        <w:t xml:space="preserve"> Cynthia </w:t>
      </w:r>
      <w:proofErr w:type="spellStart"/>
      <w:r>
        <w:t>Neverdon</w:t>
      </w:r>
      <w:proofErr w:type="spellEnd"/>
      <w:r>
        <w:t xml:space="preserve">-Morton, “Advancement of the Race through African American Women’s Organizations in the South, 1895-1925.” In </w:t>
      </w:r>
      <w:proofErr w:type="gramStart"/>
      <w:r>
        <w:rPr>
          <w:i/>
        </w:rPr>
        <w:t>African-American</w:t>
      </w:r>
      <w:proofErr w:type="gramEnd"/>
      <w:r>
        <w:rPr>
          <w:i/>
        </w:rPr>
        <w:t xml:space="preserve"> Women and the Vote 1837-1965, </w:t>
      </w:r>
      <w:r>
        <w:t>ed. Ann D. Gordon et al. (Amherst: University of Massachusetts Press, 1997), 120-133.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7F910" w14:textId="77777777" w:rsidR="00D34C81" w:rsidRDefault="00C31AE7">
    <w:pPr>
      <w:spacing w:after="449" w:line="259" w:lineRule="auto"/>
      <w:ind w:left="0" w:right="-3" w:firstLine="0"/>
      <w:jc w:val="right"/>
    </w:pPr>
    <w:r>
      <w:fldChar w:fldCharType="begin"/>
    </w:r>
    <w:r>
      <w:instrText xml:space="preserve"> PAGE   \* MERGEFORMAT </w:instrText>
    </w:r>
    <w:r>
      <w:fldChar w:fldCharType="separate"/>
    </w:r>
    <w:r>
      <w:t>2</w:t>
    </w:r>
    <w:r>
      <w:fldChar w:fldCharType="end"/>
    </w:r>
  </w:p>
  <w:p w14:paraId="69DAC788" w14:textId="77777777" w:rsidR="00D34C81" w:rsidRDefault="00C31AE7">
    <w:pPr>
      <w:spacing w:after="0" w:line="259" w:lineRule="auto"/>
      <w:ind w:left="4441" w:firstLine="0"/>
    </w:pPr>
    <w:r>
      <w:t xml:space="preserve"> </w:t>
    </w:r>
    <w:r>
      <w:tab/>
      <w:t xml:space="preserve"> </w:t>
    </w:r>
    <w:r>
      <w:tab/>
      <w:t xml:space="preserve"> </w:t>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4EB72" w14:textId="34AD2ECD" w:rsidR="00D34C81" w:rsidRDefault="00EA0BAC">
    <w:pPr>
      <w:spacing w:after="449" w:line="259" w:lineRule="auto"/>
      <w:ind w:left="0" w:right="-3" w:firstLine="0"/>
      <w:jc w:val="right"/>
    </w:pPr>
    <w:r>
      <w:t xml:space="preserve">Orvis </w:t>
    </w:r>
    <w:r>
      <w:fldChar w:fldCharType="begin"/>
    </w:r>
    <w:r>
      <w:instrText xml:space="preserve"> PAGE   \* MERGEFORMAT </w:instrText>
    </w:r>
    <w:r>
      <w:fldChar w:fldCharType="separate"/>
    </w:r>
    <w:r>
      <w:t>1</w:t>
    </w:r>
    <w:r>
      <w:fldChar w:fldCharType="end"/>
    </w:r>
  </w:p>
  <w:p w14:paraId="3D592DF6" w14:textId="77777777" w:rsidR="00D34C81" w:rsidRDefault="00C31AE7">
    <w:pPr>
      <w:spacing w:after="0" w:line="259" w:lineRule="auto"/>
      <w:ind w:left="6372" w:firstLine="0"/>
    </w:pPr>
    <w:r>
      <w:t xml:space="preserve"> </w:t>
    </w:r>
    <w: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BCB09" w14:textId="77777777" w:rsidR="00D34C81" w:rsidRDefault="00C31AE7">
    <w:pPr>
      <w:spacing w:after="0" w:line="259" w:lineRule="auto"/>
      <w:ind w:left="0" w:right="-3" w:firstLine="0"/>
      <w:jc w:val="right"/>
    </w:pPr>
    <w:r>
      <w:fldChar w:fldCharType="begin"/>
    </w:r>
    <w:r>
      <w:instrText xml:space="preserve"> PAGE   \* MERGEFORMAT </w:instrText>
    </w:r>
    <w:r>
      <w:fldChar w:fldCharType="separate"/>
    </w:r>
    <w:r>
      <w:rPr>
        <w:rFonts w:ascii="Arial" w:eastAsia="Arial" w:hAnsi="Arial" w:cs="Arial"/>
        <w:color w:val="FFFFFF"/>
        <w:sz w:val="22"/>
      </w:rPr>
      <w:t>0</w:t>
    </w:r>
    <w:r>
      <w:rPr>
        <w:rFonts w:ascii="Arial" w:eastAsia="Arial" w:hAnsi="Arial" w:cs="Arial"/>
        <w:color w:val="FFFFFF"/>
        <w:sz w:val="22"/>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C81"/>
    <w:rsid w:val="0001576E"/>
    <w:rsid w:val="000A5D6D"/>
    <w:rsid w:val="0010246C"/>
    <w:rsid w:val="001B48E6"/>
    <w:rsid w:val="00246238"/>
    <w:rsid w:val="00335197"/>
    <w:rsid w:val="003838FB"/>
    <w:rsid w:val="004B514F"/>
    <w:rsid w:val="00523DA7"/>
    <w:rsid w:val="00626BA2"/>
    <w:rsid w:val="00716D46"/>
    <w:rsid w:val="00793EE8"/>
    <w:rsid w:val="008626EC"/>
    <w:rsid w:val="008A4420"/>
    <w:rsid w:val="00905A86"/>
    <w:rsid w:val="00A05BC5"/>
    <w:rsid w:val="00B56838"/>
    <w:rsid w:val="00C31AE7"/>
    <w:rsid w:val="00D34C81"/>
    <w:rsid w:val="00E66EFE"/>
    <w:rsid w:val="00EA0BAC"/>
    <w:rsid w:val="00F44A9A"/>
    <w:rsid w:val="05339418"/>
    <w:rsid w:val="0757C9E2"/>
    <w:rsid w:val="15F6EADE"/>
    <w:rsid w:val="38FF7335"/>
    <w:rsid w:val="46933D64"/>
    <w:rsid w:val="46EA31FC"/>
    <w:rsid w:val="4D601193"/>
    <w:rsid w:val="50F34165"/>
    <w:rsid w:val="5FE8DD92"/>
    <w:rsid w:val="7758AEC8"/>
    <w:rsid w:val="7F339F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DB4D368"/>
  <w15:docId w15:val="{553D9874-D86A-DD46-BBFA-FA975DD34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481" w:lineRule="auto"/>
      <w:ind w:left="702" w:hanging="10"/>
    </w:pPr>
    <w:rPr>
      <w:rFonts w:ascii="Times New Roman" w:eastAsia="Times New Roman" w:hAnsi="Times New Roman" w:cs="Times New Roman"/>
      <w:color w:val="000000"/>
      <w:lang w:val="en" w:eastAsia="en"/>
    </w:rPr>
  </w:style>
  <w:style w:type="paragraph" w:styleId="Heading4">
    <w:name w:val="heading 4"/>
    <w:basedOn w:val="Normal"/>
    <w:next w:val="Normal"/>
    <w:link w:val="Heading4Char"/>
    <w:uiPriority w:val="9"/>
    <w:semiHidden/>
    <w:unhideWhenUsed/>
    <w:qFormat/>
    <w:rsid w:val="00E66EFE"/>
    <w:pPr>
      <w:keepNext/>
      <w:keepLines/>
      <w:spacing w:before="80" w:after="40" w:line="278" w:lineRule="auto"/>
      <w:ind w:left="0" w:firstLine="0"/>
      <w:outlineLvl w:val="3"/>
    </w:pPr>
    <w:rPr>
      <w:rFonts w:asciiTheme="minorHAnsi" w:eastAsiaTheme="majorEastAsia" w:hAnsiTheme="minorHAnsi" w:cstheme="majorBidi"/>
      <w:i/>
      <w:iCs/>
      <w:color w:val="0F4761" w:themeColor="accent1" w:themeShade="B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42"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18"/>
      <w:vertAlign w:val="superscript"/>
    </w:rPr>
  </w:style>
  <w:style w:type="paragraph" w:styleId="FootnoteText">
    <w:name w:val="footnote text"/>
    <w:basedOn w:val="Normal"/>
    <w:link w:val="FootnoteTextChar"/>
    <w:uiPriority w:val="99"/>
    <w:semiHidden/>
    <w:unhideWhenUsed/>
    <w:rsid w:val="00E66E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6EFE"/>
    <w:rPr>
      <w:rFonts w:ascii="Times New Roman" w:eastAsia="Times New Roman" w:hAnsi="Times New Roman" w:cs="Times New Roman"/>
      <w:color w:val="000000"/>
      <w:sz w:val="20"/>
      <w:szCs w:val="20"/>
      <w:lang w:val="en" w:eastAsia="en"/>
    </w:rPr>
  </w:style>
  <w:style w:type="character" w:styleId="FootnoteReference">
    <w:name w:val="footnote reference"/>
    <w:basedOn w:val="DefaultParagraphFont"/>
    <w:uiPriority w:val="99"/>
    <w:semiHidden/>
    <w:unhideWhenUsed/>
    <w:rsid w:val="00E66EFE"/>
    <w:rPr>
      <w:vertAlign w:val="superscript"/>
    </w:rPr>
  </w:style>
  <w:style w:type="character" w:customStyle="1" w:styleId="Heading4Char">
    <w:name w:val="Heading 4 Char"/>
    <w:basedOn w:val="DefaultParagraphFont"/>
    <w:link w:val="Heading4"/>
    <w:uiPriority w:val="9"/>
    <w:semiHidden/>
    <w:rsid w:val="00E66EFE"/>
    <w:rPr>
      <w:rFonts w:eastAsiaTheme="majorEastAsia" w:cstheme="majorBidi"/>
      <w:i/>
      <w:iCs/>
      <w:color w:val="0F4761" w:themeColor="accent1" w:themeShade="BF"/>
    </w:rPr>
  </w:style>
  <w:style w:type="paragraph" w:customStyle="1" w:styleId="p1">
    <w:name w:val="p1"/>
    <w:basedOn w:val="Normal"/>
    <w:rsid w:val="00E66EFE"/>
    <w:pPr>
      <w:spacing w:after="0" w:line="240" w:lineRule="auto"/>
      <w:ind w:left="0" w:firstLine="0"/>
    </w:pPr>
    <w:rPr>
      <w:kern w:val="0"/>
      <w:sz w:val="15"/>
      <w:szCs w:val="15"/>
      <w:lang w:val="en-US" w:eastAsia="en-US"/>
      <w14:ligatures w14:val="none"/>
    </w:rPr>
  </w:style>
  <w:style w:type="character" w:customStyle="1" w:styleId="s1">
    <w:name w:val="s1"/>
    <w:basedOn w:val="DefaultParagraphFont"/>
    <w:rsid w:val="008626EC"/>
    <w:rPr>
      <w:rFonts w:ascii="Times New Roman" w:hAnsi="Times New Roman" w:cs="Times New Roman" w:hint="default"/>
      <w:sz w:val="9"/>
      <w:szCs w:val="9"/>
    </w:rPr>
  </w:style>
  <w:style w:type="paragraph" w:styleId="Footer">
    <w:name w:val="footer"/>
    <w:basedOn w:val="Normal"/>
    <w:link w:val="FooterChar"/>
    <w:uiPriority w:val="99"/>
    <w:unhideWhenUsed/>
    <w:rsid w:val="00862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6EC"/>
    <w:rPr>
      <w:rFonts w:ascii="Times New Roman" w:eastAsia="Times New Roman" w:hAnsi="Times New Roman" w:cs="Times New Roman"/>
      <w:color w:val="000000"/>
      <w:lang w:val="en" w:eastAsia="en"/>
    </w:rPr>
  </w:style>
  <w:style w:type="paragraph" w:styleId="Header">
    <w:name w:val="header"/>
    <w:basedOn w:val="Normal"/>
    <w:uiPriority w:val="99"/>
    <w:unhideWhenUsed/>
    <w:rsid w:val="15F6EADE"/>
    <w:pPr>
      <w:tabs>
        <w:tab w:val="center" w:pos="4680"/>
        <w:tab w:val="right" w:pos="9360"/>
      </w:tabs>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48192">
      <w:bodyDiv w:val="1"/>
      <w:marLeft w:val="0"/>
      <w:marRight w:val="0"/>
      <w:marTop w:val="0"/>
      <w:marBottom w:val="0"/>
      <w:divBdr>
        <w:top w:val="none" w:sz="0" w:space="0" w:color="auto"/>
        <w:left w:val="none" w:sz="0" w:space="0" w:color="auto"/>
        <w:bottom w:val="none" w:sz="0" w:space="0" w:color="auto"/>
        <w:right w:val="none" w:sz="0" w:space="0" w:color="auto"/>
      </w:divBdr>
    </w:div>
    <w:div w:id="411245365">
      <w:bodyDiv w:val="1"/>
      <w:marLeft w:val="0"/>
      <w:marRight w:val="0"/>
      <w:marTop w:val="0"/>
      <w:marBottom w:val="0"/>
      <w:divBdr>
        <w:top w:val="none" w:sz="0" w:space="0" w:color="auto"/>
        <w:left w:val="none" w:sz="0" w:space="0" w:color="auto"/>
        <w:bottom w:val="none" w:sz="0" w:space="0" w:color="auto"/>
        <w:right w:val="none" w:sz="0" w:space="0" w:color="auto"/>
      </w:divBdr>
    </w:div>
    <w:div w:id="926427807">
      <w:bodyDiv w:val="1"/>
      <w:marLeft w:val="0"/>
      <w:marRight w:val="0"/>
      <w:marTop w:val="0"/>
      <w:marBottom w:val="0"/>
      <w:divBdr>
        <w:top w:val="none" w:sz="0" w:space="0" w:color="auto"/>
        <w:left w:val="none" w:sz="0" w:space="0" w:color="auto"/>
        <w:bottom w:val="none" w:sz="0" w:space="0" w:color="auto"/>
        <w:right w:val="none" w:sz="0" w:space="0" w:color="auto"/>
      </w:divBdr>
    </w:div>
    <w:div w:id="1190295688">
      <w:bodyDiv w:val="1"/>
      <w:marLeft w:val="0"/>
      <w:marRight w:val="0"/>
      <w:marTop w:val="0"/>
      <w:marBottom w:val="0"/>
      <w:divBdr>
        <w:top w:val="none" w:sz="0" w:space="0" w:color="auto"/>
        <w:left w:val="none" w:sz="0" w:space="0" w:color="auto"/>
        <w:bottom w:val="none" w:sz="0" w:space="0" w:color="auto"/>
        <w:right w:val="none" w:sz="0" w:space="0" w:color="auto"/>
      </w:divBdr>
    </w:div>
    <w:div w:id="1894580844">
      <w:bodyDiv w:val="1"/>
      <w:marLeft w:val="0"/>
      <w:marRight w:val="0"/>
      <w:marTop w:val="0"/>
      <w:marBottom w:val="0"/>
      <w:divBdr>
        <w:top w:val="none" w:sz="0" w:space="0" w:color="auto"/>
        <w:left w:val="none" w:sz="0" w:space="0" w:color="auto"/>
        <w:bottom w:val="none" w:sz="0" w:space="0" w:color="auto"/>
        <w:right w:val="none" w:sz="0" w:space="0" w:color="auto"/>
      </w:divBdr>
    </w:div>
    <w:div w:id="1997488134">
      <w:bodyDiv w:val="1"/>
      <w:marLeft w:val="0"/>
      <w:marRight w:val="0"/>
      <w:marTop w:val="0"/>
      <w:marBottom w:val="0"/>
      <w:divBdr>
        <w:top w:val="none" w:sz="0" w:space="0" w:color="auto"/>
        <w:left w:val="none" w:sz="0" w:space="0" w:color="auto"/>
        <w:bottom w:val="none" w:sz="0" w:space="0" w:color="auto"/>
        <w:right w:val="none" w:sz="0" w:space="0" w:color="auto"/>
      </w:divBdr>
    </w:div>
    <w:div w:id="2108504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avidson.primo.exlibrisgroup.com/permalink/01DCOLL_INST/pven4q/alma991025240548105716" TargetMode="External"/><Relationship Id="rId13" Type="http://schemas.openxmlformats.org/officeDocument/2006/relationships/hyperlink" Target="https://login.proxy048.nclive.org/login?url=https://www.proquest.com/historical-newspapers/miss-anthony-negroes/docview/95974766/se-2?accountid=10427" TargetMode="External"/><Relationship Id="rId18" Type="http://schemas.openxmlformats.org/officeDocument/2006/relationships/hyperlink" Target="https://www.bu.edu/missiology/missionary-biography/r-s/smith-amanda-berry-1837-1915/"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login.proxy048.nclive.org/login?url=https://www.proquest.com/historical-newspapers/suffrage-women/docview/144198986/se-2?accountid=10427" TargetMode="External"/><Relationship Id="rId7" Type="http://schemas.openxmlformats.org/officeDocument/2006/relationships/hyperlink" Target="https://davidson.primo.exlibrisgroup.com/permalink/01DCOLL_INST/pven4q/alma991025240548105716" TargetMode="External"/><Relationship Id="rId12" Type="http://schemas.openxmlformats.org/officeDocument/2006/relationships/hyperlink" Target="https://www.womenshistory.org/education-resources/biographies/sojourner-truth" TargetMode="External"/><Relationship Id="rId17" Type="http://schemas.openxmlformats.org/officeDocument/2006/relationships/hyperlink" Target="https://naacp.org/about/our-history"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naacp.org/about/our-history" TargetMode="External"/><Relationship Id="rId20" Type="http://schemas.openxmlformats.org/officeDocument/2006/relationships/hyperlink" Target="https://login.proxy048.nclive.org/login?url=https://www.proquest.com/historical-newspapers/suffrage-women/docview/144198986/se-2?accountid=1042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proxy048.nclive.org/login?url=https://www.proquest.com/historical-newspapers/let-women-vote/docview/495263144/se-2?accountid=104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eric.ed.gov/?id=ED453151"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login.proxy048.nclive.org/login?url=https://www.proquest.com/historical-newspapers/let-women-vote/docview/495263144/se-2?accountid=10427" TargetMode="External"/><Relationship Id="rId19" Type="http://schemas.openxmlformats.org/officeDocument/2006/relationships/hyperlink" Target="https://www.bu.edu/missiology/missionary-biography/r-s/smith-amanda-berry-1837-1915/" TargetMode="External"/><Relationship Id="rId4" Type="http://schemas.openxmlformats.org/officeDocument/2006/relationships/webSettings" Target="webSettings.xml"/><Relationship Id="rId9" Type="http://schemas.openxmlformats.org/officeDocument/2006/relationships/hyperlink" Target="https://www.nps.gov/wori/learn/historyculture/declaration-of-sentiments.htm" TargetMode="External"/><Relationship Id="rId14" Type="http://schemas.openxmlformats.org/officeDocument/2006/relationships/hyperlink" Target="https://login.proxy048.nclive.org/login?url=https://www.proquest.com/historical-newspapers/miss-anthony-negroes/docview/95974766/se-2?accountid=10427" TargetMode="External"/><Relationship Id="rId22" Type="http://schemas.openxmlformats.org/officeDocument/2006/relationships/header" Target="header1.xm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bu.edu/missiology/missionary-biography/r-s/smith-amanda-berry-1837-1915/" TargetMode="External"/><Relationship Id="rId3" Type="http://schemas.openxmlformats.org/officeDocument/2006/relationships/hyperlink" Target="https://eric.ed.gov/?id=ED453151" TargetMode="External"/><Relationship Id="rId7" Type="http://schemas.openxmlformats.org/officeDocument/2006/relationships/hyperlink" Target="https://www.womenshistory.org/education-resources/biographies/sojourner-truth" TargetMode="External"/><Relationship Id="rId2" Type="http://schemas.openxmlformats.org/officeDocument/2006/relationships/hyperlink" Target="https://eric.ed.gov/?id=ED453151" TargetMode="External"/><Relationship Id="rId1" Type="http://schemas.openxmlformats.org/officeDocument/2006/relationships/hyperlink" Target="https://eric.ed.gov/?id=ED453151" TargetMode="External"/><Relationship Id="rId6" Type="http://schemas.openxmlformats.org/officeDocument/2006/relationships/hyperlink" Target="https://davidson.primo.exlibrisgroup.com/permalink/01DCOLL_INST/pven4q/alma991025240548105716" TargetMode="External"/><Relationship Id="rId5" Type="http://schemas.openxmlformats.org/officeDocument/2006/relationships/hyperlink" Target="https://www.nps.gov/wori/learn/historyculture/declaration-of-sentiments.htm" TargetMode="External"/><Relationship Id="rId10" Type="http://schemas.openxmlformats.org/officeDocument/2006/relationships/hyperlink" Target="https://naacp.org/about/our-history" TargetMode="External"/><Relationship Id="rId4" Type="http://schemas.openxmlformats.org/officeDocument/2006/relationships/hyperlink" Target="https://eric.ed.gov/?id=ED453151" TargetMode="External"/><Relationship Id="rId9" Type="http://schemas.openxmlformats.org/officeDocument/2006/relationships/hyperlink" Target="https://naacp.org/about/our-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456F946-36BA-7C48-8680-5D3D0CB56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3444</Words>
  <Characters>19631</Characters>
  <Application>Microsoft Office Word</Application>
  <DocSecurity>0</DocSecurity>
  <Lines>163</Lines>
  <Paragraphs>46</Paragraphs>
  <ScaleCrop>false</ScaleCrop>
  <Company/>
  <LinksUpToDate>false</LinksUpToDate>
  <CharactersWithSpaces>23029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 141 Final Paper</dc:title>
  <dc:subject/>
  <dc:creator>Tran, Ethan</dc:creator>
  <cp:keywords/>
  <cp:lastModifiedBy>Orvis, Claire</cp:lastModifiedBy>
  <cp:revision>2</cp:revision>
  <dcterms:created xsi:type="dcterms:W3CDTF">2025-04-09T14:14:00Z</dcterms:created>
  <dcterms:modified xsi:type="dcterms:W3CDTF">2025-04-09T14:14:00Z</dcterms:modified>
</cp:coreProperties>
</file>